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A47E7E" w:rsidRDefault="0056188E">
      <w:pPr>
        <w:rPr>
          <w:rFonts w:ascii="Calibri" w:hAnsi="Calibri" w:cs="Calibri"/>
          <w:lang w:val="sr-Latn-CS"/>
        </w:rPr>
      </w:pPr>
    </w:p>
    <w:p w:rsidR="00B37944" w:rsidRPr="00A47E7E" w:rsidRDefault="00665200" w:rsidP="00E349B4">
      <w:pPr>
        <w:jc w:val="center"/>
        <w:rPr>
          <w:rFonts w:ascii="Calibri" w:hAnsi="Calibri" w:cs="Calibri"/>
          <w:b/>
          <w:lang w:val="sr-Latn-CS"/>
        </w:rPr>
      </w:pPr>
      <w:r>
        <w:rPr>
          <w:rFonts w:ascii="Calibri" w:hAnsi="Calibri" w:cs="Calibri"/>
          <w:b/>
          <w:lang w:val="sr-Latn-CS"/>
        </w:rPr>
        <w:t xml:space="preserve">OTVORENI </w:t>
      </w:r>
      <w:r w:rsidR="00E349B4">
        <w:rPr>
          <w:rFonts w:ascii="Calibri" w:hAnsi="Calibri" w:cs="Calibri"/>
          <w:b/>
          <w:lang w:val="sr-Latn-CS"/>
        </w:rPr>
        <w:t>NOVČANI</w:t>
      </w:r>
      <w:r w:rsidR="00F64D1D" w:rsidRPr="00A47E7E">
        <w:rPr>
          <w:rFonts w:ascii="Calibri" w:hAnsi="Calibri" w:cs="Calibri"/>
          <w:b/>
          <w:lang w:val="sr-Latn-CS"/>
        </w:rPr>
        <w:t xml:space="preserve"> INVESTICIONI FOND </w:t>
      </w:r>
      <w:r w:rsidR="00E349B4">
        <w:rPr>
          <w:rFonts w:ascii="Calibri" w:hAnsi="Calibri" w:cs="Calibri"/>
          <w:b/>
          <w:lang w:val="sr-Latn-CS"/>
        </w:rPr>
        <w:t>CASH</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17FDB">
        <w:rPr>
          <w:rFonts w:ascii="Calibri" w:hAnsi="Calibri" w:cs="Calibri"/>
          <w:b/>
          <w:lang w:val="sr-Latn-CS"/>
        </w:rPr>
        <w:t>ON</w:t>
      </w:r>
      <w:r w:rsidR="00007F24" w:rsidRPr="00A47E7E">
        <w:rPr>
          <w:rFonts w:ascii="Calibri" w:hAnsi="Calibri" w:cs="Calibri"/>
          <w:b/>
          <w:lang w:val="sr-Latn-CS"/>
        </w:rPr>
        <w:t>IF</w:t>
      </w:r>
      <w:r w:rsidRPr="00A47E7E">
        <w:rPr>
          <w:rFonts w:ascii="Calibri" w:hAnsi="Calibri" w:cs="Calibri"/>
          <w:b/>
          <w:lang w:val="sr-Latn-CS"/>
        </w:rPr>
        <w:t xml:space="preserve">-a </w:t>
      </w:r>
      <w:r w:rsidR="00617FDB">
        <w:rPr>
          <w:rFonts w:ascii="Calibri" w:hAnsi="Calibri" w:cs="Calibri"/>
          <w:b/>
          <w:lang w:val="sr-Latn-CS"/>
        </w:rPr>
        <w:t xml:space="preserve">Cash </w:t>
      </w:r>
      <w:r w:rsidR="00007F24" w:rsidRPr="00A47E7E">
        <w:rPr>
          <w:rFonts w:ascii="Calibri" w:hAnsi="Calibri" w:cs="Calibri"/>
          <w:b/>
          <w:lang w:val="sr-Latn-CS"/>
        </w:rPr>
        <w:t>fund</w:t>
      </w:r>
      <w:r w:rsidR="004E3F72" w:rsidRPr="00A47E7E">
        <w:rPr>
          <w:rFonts w:ascii="Calibri" w:hAnsi="Calibri" w:cs="Calibri"/>
          <w:b/>
          <w:lang w:val="sr-Latn-CS"/>
        </w:rPr>
        <w:t xml:space="preserve"> Banja Luka za period od </w:t>
      </w:r>
      <w:r w:rsidR="00617FDB">
        <w:rPr>
          <w:rFonts w:ascii="Calibri" w:hAnsi="Calibri" w:cs="Calibri"/>
          <w:b/>
          <w:lang w:val="sr-Latn-CS"/>
        </w:rPr>
        <w:t>23.11</w:t>
      </w:r>
      <w:r w:rsidR="00CC444B" w:rsidRPr="00A47E7E">
        <w:rPr>
          <w:rFonts w:ascii="Calibri" w:hAnsi="Calibri" w:cs="Calibri"/>
          <w:b/>
          <w:lang w:val="sr-Latn-CS"/>
        </w:rPr>
        <w:t>.-</w:t>
      </w:r>
      <w:r w:rsidR="008938AD" w:rsidRPr="00A47E7E">
        <w:rPr>
          <w:rFonts w:ascii="Calibri" w:hAnsi="Calibri" w:cs="Calibri"/>
          <w:b/>
          <w:lang w:val="sr-Latn-CS"/>
        </w:rPr>
        <w:t>31</w:t>
      </w:r>
      <w:r w:rsidRPr="00A47E7E">
        <w:rPr>
          <w:rFonts w:ascii="Calibri" w:hAnsi="Calibri" w:cs="Calibri"/>
          <w:b/>
          <w:lang w:val="sr-Latn-CS"/>
        </w:rPr>
        <w:t>.</w:t>
      </w:r>
      <w:r w:rsidR="008938AD" w:rsidRPr="00A47E7E">
        <w:rPr>
          <w:rFonts w:ascii="Calibri" w:hAnsi="Calibri" w:cs="Calibri"/>
          <w:b/>
          <w:lang w:val="sr-Latn-CS"/>
        </w:rPr>
        <w:t>12</w:t>
      </w:r>
      <w:r w:rsidR="004D7275" w:rsidRPr="00A47E7E">
        <w:rPr>
          <w:rFonts w:ascii="Calibri" w:hAnsi="Calibri" w:cs="Calibri"/>
          <w:b/>
          <w:lang w:val="sr-Latn-CS"/>
        </w:rPr>
        <w:t>.201</w:t>
      </w:r>
      <w:r w:rsidR="00272CEA">
        <w:rPr>
          <w:rFonts w:ascii="Calibri" w:hAnsi="Calibri" w:cs="Calibri"/>
          <w:b/>
          <w:lang w:val="sr-Latn-CS"/>
        </w:rPr>
        <w:t>8</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272CEA">
        <w:rPr>
          <w:rFonts w:ascii="Calibri" w:hAnsi="Calibri" w:cs="Calibri"/>
          <w:lang w:val="sr-Latn-CS"/>
        </w:rPr>
        <w:t>februar 2019</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5424A9">
      <w:pPr>
        <w:pStyle w:val="TOC1"/>
        <w:rPr>
          <w:rFonts w:ascii="Calibri" w:hAnsi="Calibri"/>
          <w:noProof/>
          <w:sz w:val="22"/>
          <w:szCs w:val="22"/>
        </w:rPr>
      </w:pPr>
      <w:r w:rsidRPr="005424A9">
        <w:lastRenderedPageBreak/>
        <w:fldChar w:fldCharType="begin"/>
      </w:r>
      <w:r w:rsidR="00B64A52" w:rsidRPr="00A47E7E">
        <w:instrText xml:space="preserve"> TOC \o "1-3" \h \z \u </w:instrText>
      </w:r>
      <w:r w:rsidRPr="005424A9">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1976ED">
          <w:rPr>
            <w:noProof/>
            <w:webHidden/>
          </w:rPr>
          <w:t>3</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Pr="00A47E7E">
          <w:rPr>
            <w:noProof/>
            <w:webHidden/>
          </w:rPr>
          <w:fldChar w:fldCharType="begin"/>
        </w:r>
        <w:r w:rsidR="0009145D" w:rsidRPr="00A47E7E">
          <w:rPr>
            <w:noProof/>
            <w:webHidden/>
          </w:rPr>
          <w:instrText xml:space="preserve"> PAGEREF _Toc506796494 \h </w:instrText>
        </w:r>
        <w:r w:rsidRPr="00A47E7E">
          <w:rPr>
            <w:noProof/>
            <w:webHidden/>
          </w:rPr>
        </w:r>
        <w:r w:rsidRPr="00A47E7E">
          <w:rPr>
            <w:noProof/>
            <w:webHidden/>
          </w:rPr>
          <w:fldChar w:fldCharType="separate"/>
        </w:r>
        <w:r w:rsidR="001976ED">
          <w:rPr>
            <w:noProof/>
            <w:webHidden/>
          </w:rPr>
          <w:t>3</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Pr="00A47E7E">
          <w:rPr>
            <w:noProof/>
            <w:webHidden/>
          </w:rPr>
          <w:fldChar w:fldCharType="begin"/>
        </w:r>
        <w:r w:rsidR="0009145D" w:rsidRPr="00A47E7E">
          <w:rPr>
            <w:noProof/>
            <w:webHidden/>
          </w:rPr>
          <w:instrText xml:space="preserve"> PAGEREF _Toc506796495 \h </w:instrText>
        </w:r>
        <w:r w:rsidRPr="00A47E7E">
          <w:rPr>
            <w:noProof/>
            <w:webHidden/>
          </w:rPr>
        </w:r>
        <w:r w:rsidRPr="00A47E7E">
          <w:rPr>
            <w:noProof/>
            <w:webHidden/>
          </w:rPr>
          <w:fldChar w:fldCharType="separate"/>
        </w:r>
        <w:r w:rsidR="001976ED">
          <w:rPr>
            <w:noProof/>
            <w:webHidden/>
          </w:rPr>
          <w:t>3</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Pr="00A47E7E">
          <w:rPr>
            <w:noProof/>
            <w:webHidden/>
          </w:rPr>
          <w:fldChar w:fldCharType="begin"/>
        </w:r>
        <w:r w:rsidR="0009145D" w:rsidRPr="00A47E7E">
          <w:rPr>
            <w:noProof/>
            <w:webHidden/>
          </w:rPr>
          <w:instrText xml:space="preserve"> PAGEREF _Toc506796496 \h </w:instrText>
        </w:r>
        <w:r w:rsidRPr="00A47E7E">
          <w:rPr>
            <w:noProof/>
            <w:webHidden/>
          </w:rPr>
        </w:r>
        <w:r w:rsidRPr="00A47E7E">
          <w:rPr>
            <w:noProof/>
            <w:webHidden/>
          </w:rPr>
          <w:fldChar w:fldCharType="separate"/>
        </w:r>
        <w:r w:rsidR="001976ED">
          <w:rPr>
            <w:noProof/>
            <w:webHidden/>
          </w:rPr>
          <w:t>4</w:t>
        </w:r>
        <w:r w:rsidRPr="00A47E7E">
          <w:rPr>
            <w:noProof/>
            <w:webHidden/>
          </w:rPr>
          <w:fldChar w:fldCharType="end"/>
        </w:r>
      </w:hyperlink>
    </w:p>
    <w:p w:rsidR="0009145D" w:rsidRPr="00A47E7E" w:rsidRDefault="005424A9">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_Toc506796497 \h </w:instrText>
        </w:r>
        <w:r w:rsidRPr="00A47E7E">
          <w:rPr>
            <w:noProof/>
            <w:webHidden/>
          </w:rPr>
        </w:r>
        <w:r w:rsidRPr="00A47E7E">
          <w:rPr>
            <w:noProof/>
            <w:webHidden/>
          </w:rPr>
          <w:fldChar w:fldCharType="separate"/>
        </w:r>
        <w:r w:rsidR="001976ED">
          <w:rPr>
            <w:noProof/>
            <w:webHidden/>
          </w:rPr>
          <w:t>4</w:t>
        </w:r>
        <w:r w:rsidRPr="00A47E7E">
          <w:rPr>
            <w:noProof/>
            <w:webHidden/>
          </w:rPr>
          <w:fldChar w:fldCharType="end"/>
        </w:r>
      </w:hyperlink>
    </w:p>
    <w:p w:rsidR="0009145D" w:rsidRPr="00A47E7E" w:rsidRDefault="005424A9">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_Toc506796498 \h </w:instrText>
        </w:r>
        <w:r w:rsidRPr="00A47E7E">
          <w:rPr>
            <w:noProof/>
            <w:webHidden/>
          </w:rPr>
        </w:r>
        <w:r w:rsidRPr="00A47E7E">
          <w:rPr>
            <w:noProof/>
            <w:webHidden/>
          </w:rPr>
          <w:fldChar w:fldCharType="separate"/>
        </w:r>
        <w:r w:rsidR="001976ED">
          <w:rPr>
            <w:noProof/>
            <w:webHidden/>
          </w:rPr>
          <w:t>5</w:t>
        </w:r>
        <w:r w:rsidRPr="00A47E7E">
          <w:rPr>
            <w:noProof/>
            <w:webHidden/>
          </w:rPr>
          <w:fldChar w:fldCharType="end"/>
        </w:r>
      </w:hyperlink>
    </w:p>
    <w:p w:rsidR="0009145D" w:rsidRPr="00A47E7E" w:rsidRDefault="005424A9">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Pr="00A47E7E">
          <w:rPr>
            <w:noProof/>
            <w:webHidden/>
          </w:rPr>
          <w:fldChar w:fldCharType="begin"/>
        </w:r>
        <w:r w:rsidR="0009145D" w:rsidRPr="00A47E7E">
          <w:rPr>
            <w:noProof/>
            <w:webHidden/>
          </w:rPr>
          <w:instrText xml:space="preserve"> PAGEREF _Toc506796499 \h </w:instrText>
        </w:r>
        <w:r w:rsidRPr="00A47E7E">
          <w:rPr>
            <w:noProof/>
            <w:webHidden/>
          </w:rPr>
        </w:r>
        <w:r w:rsidRPr="00A47E7E">
          <w:rPr>
            <w:noProof/>
            <w:webHidden/>
          </w:rPr>
          <w:fldChar w:fldCharType="separate"/>
        </w:r>
        <w:r w:rsidR="001976ED">
          <w:rPr>
            <w:noProof/>
            <w:webHidden/>
          </w:rPr>
          <w:t>7</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Pr="00A47E7E">
          <w:rPr>
            <w:noProof/>
            <w:webHidden/>
          </w:rPr>
          <w:fldChar w:fldCharType="begin"/>
        </w:r>
        <w:r w:rsidR="0009145D" w:rsidRPr="00A47E7E">
          <w:rPr>
            <w:noProof/>
            <w:webHidden/>
          </w:rPr>
          <w:instrText xml:space="preserve"> PAGEREF _Toc506796500 \h </w:instrText>
        </w:r>
        <w:r w:rsidRPr="00A47E7E">
          <w:rPr>
            <w:noProof/>
            <w:webHidden/>
          </w:rPr>
        </w:r>
        <w:r w:rsidRPr="00A47E7E">
          <w:rPr>
            <w:noProof/>
            <w:webHidden/>
          </w:rPr>
          <w:fldChar w:fldCharType="separate"/>
        </w:r>
        <w:r w:rsidR="001976ED">
          <w:rPr>
            <w:noProof/>
            <w:webHidden/>
          </w:rPr>
          <w:t>8</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_Toc506796501 \h </w:instrText>
        </w:r>
        <w:r w:rsidRPr="00A47E7E">
          <w:rPr>
            <w:noProof/>
            <w:webHidden/>
          </w:rPr>
        </w:r>
        <w:r w:rsidRPr="00A47E7E">
          <w:rPr>
            <w:noProof/>
            <w:webHidden/>
          </w:rPr>
          <w:fldChar w:fldCharType="separate"/>
        </w:r>
        <w:r w:rsidR="001976ED">
          <w:rPr>
            <w:noProof/>
            <w:webHidden/>
          </w:rPr>
          <w:t>8</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_Toc506796502 \h </w:instrText>
        </w:r>
        <w:r w:rsidRPr="00A47E7E">
          <w:rPr>
            <w:noProof/>
            <w:webHidden/>
          </w:rPr>
        </w:r>
        <w:r w:rsidRPr="00A47E7E">
          <w:rPr>
            <w:noProof/>
            <w:webHidden/>
          </w:rPr>
          <w:fldChar w:fldCharType="separate"/>
        </w:r>
        <w:r w:rsidR="001976ED">
          <w:rPr>
            <w:noProof/>
            <w:webHidden/>
          </w:rPr>
          <w:t>10</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_Toc506796503 \h </w:instrText>
        </w:r>
        <w:r w:rsidRPr="00A47E7E">
          <w:rPr>
            <w:noProof/>
            <w:webHidden/>
          </w:rPr>
        </w:r>
        <w:r w:rsidRPr="00A47E7E">
          <w:rPr>
            <w:noProof/>
            <w:webHidden/>
          </w:rPr>
          <w:fldChar w:fldCharType="separate"/>
        </w:r>
        <w:r w:rsidR="001976ED">
          <w:rPr>
            <w:noProof/>
            <w:webHidden/>
          </w:rPr>
          <w:t>10</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Pr="00A47E7E">
          <w:rPr>
            <w:noProof/>
            <w:webHidden/>
          </w:rPr>
          <w:fldChar w:fldCharType="begin"/>
        </w:r>
        <w:r w:rsidR="0009145D" w:rsidRPr="00A47E7E">
          <w:rPr>
            <w:noProof/>
            <w:webHidden/>
          </w:rPr>
          <w:instrText xml:space="preserve"> PAGEREF _Toc506796504 \h </w:instrText>
        </w:r>
        <w:r w:rsidRPr="00A47E7E">
          <w:rPr>
            <w:noProof/>
            <w:webHidden/>
          </w:rPr>
        </w:r>
        <w:r w:rsidRPr="00A47E7E">
          <w:rPr>
            <w:noProof/>
            <w:webHidden/>
          </w:rPr>
          <w:fldChar w:fldCharType="separate"/>
        </w:r>
        <w:r w:rsidR="001976ED">
          <w:rPr>
            <w:noProof/>
            <w:webHidden/>
          </w:rPr>
          <w:t>11</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_Toc506796505 \h </w:instrText>
        </w:r>
        <w:r w:rsidRPr="00A47E7E">
          <w:rPr>
            <w:noProof/>
            <w:webHidden/>
          </w:rPr>
        </w:r>
        <w:r w:rsidRPr="00A47E7E">
          <w:rPr>
            <w:noProof/>
            <w:webHidden/>
          </w:rPr>
          <w:fldChar w:fldCharType="separate"/>
        </w:r>
        <w:r w:rsidR="001976ED">
          <w:rPr>
            <w:noProof/>
            <w:webHidden/>
          </w:rPr>
          <w:t>14</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Pr="00A47E7E">
          <w:rPr>
            <w:noProof/>
            <w:webHidden/>
          </w:rPr>
          <w:fldChar w:fldCharType="begin"/>
        </w:r>
        <w:r w:rsidR="0009145D" w:rsidRPr="00A47E7E">
          <w:rPr>
            <w:noProof/>
            <w:webHidden/>
          </w:rPr>
          <w:instrText xml:space="preserve"> PAGEREF _Toc506796506 \h </w:instrText>
        </w:r>
        <w:r w:rsidRPr="00A47E7E">
          <w:rPr>
            <w:noProof/>
            <w:webHidden/>
          </w:rPr>
        </w:r>
        <w:r w:rsidRPr="00A47E7E">
          <w:rPr>
            <w:noProof/>
            <w:webHidden/>
          </w:rPr>
          <w:fldChar w:fldCharType="separate"/>
        </w:r>
        <w:r w:rsidR="001976ED">
          <w:rPr>
            <w:noProof/>
            <w:webHidden/>
          </w:rPr>
          <w:t>14</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Pr="00A47E7E">
          <w:rPr>
            <w:noProof/>
            <w:webHidden/>
          </w:rPr>
          <w:fldChar w:fldCharType="begin"/>
        </w:r>
        <w:r w:rsidR="0009145D" w:rsidRPr="00A47E7E">
          <w:rPr>
            <w:noProof/>
            <w:webHidden/>
          </w:rPr>
          <w:instrText xml:space="preserve"> PAGEREF _Toc506796507 \h </w:instrText>
        </w:r>
        <w:r w:rsidRPr="00A47E7E">
          <w:rPr>
            <w:noProof/>
            <w:webHidden/>
          </w:rPr>
        </w:r>
        <w:r w:rsidRPr="00A47E7E">
          <w:rPr>
            <w:noProof/>
            <w:webHidden/>
          </w:rPr>
          <w:fldChar w:fldCharType="separate"/>
        </w:r>
        <w:r w:rsidR="001976ED">
          <w:rPr>
            <w:noProof/>
            <w:webHidden/>
          </w:rPr>
          <w:t>15</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Pr="00A47E7E">
          <w:rPr>
            <w:noProof/>
            <w:webHidden/>
          </w:rPr>
          <w:fldChar w:fldCharType="begin"/>
        </w:r>
        <w:r w:rsidR="0009145D" w:rsidRPr="00A47E7E">
          <w:rPr>
            <w:noProof/>
            <w:webHidden/>
          </w:rPr>
          <w:instrText xml:space="preserve"> PAGEREF _Toc506796508 \h </w:instrText>
        </w:r>
        <w:r w:rsidRPr="00A47E7E">
          <w:rPr>
            <w:noProof/>
            <w:webHidden/>
          </w:rPr>
        </w:r>
        <w:r w:rsidRPr="00A47E7E">
          <w:rPr>
            <w:noProof/>
            <w:webHidden/>
          </w:rPr>
          <w:fldChar w:fldCharType="separate"/>
        </w:r>
        <w:r w:rsidR="001976ED">
          <w:rPr>
            <w:noProof/>
            <w:webHidden/>
          </w:rPr>
          <w:t>15</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Pr="00A47E7E">
          <w:rPr>
            <w:noProof/>
            <w:webHidden/>
          </w:rPr>
          <w:fldChar w:fldCharType="begin"/>
        </w:r>
        <w:r w:rsidR="0009145D" w:rsidRPr="00A47E7E">
          <w:rPr>
            <w:noProof/>
            <w:webHidden/>
          </w:rPr>
          <w:instrText xml:space="preserve"> PAGEREF _Toc506796509 \h </w:instrText>
        </w:r>
        <w:r w:rsidRPr="00A47E7E">
          <w:rPr>
            <w:noProof/>
            <w:webHidden/>
          </w:rPr>
        </w:r>
        <w:r w:rsidRPr="00A47E7E">
          <w:rPr>
            <w:noProof/>
            <w:webHidden/>
          </w:rPr>
          <w:fldChar w:fldCharType="separate"/>
        </w:r>
        <w:r w:rsidR="001976ED">
          <w:rPr>
            <w:noProof/>
            <w:webHidden/>
          </w:rPr>
          <w:t>15</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Pr="00A47E7E">
          <w:rPr>
            <w:noProof/>
            <w:webHidden/>
          </w:rPr>
          <w:fldChar w:fldCharType="begin"/>
        </w:r>
        <w:r w:rsidR="0009145D" w:rsidRPr="00A47E7E">
          <w:rPr>
            <w:noProof/>
            <w:webHidden/>
          </w:rPr>
          <w:instrText xml:space="preserve"> PAGEREF _Toc506796510 \h </w:instrText>
        </w:r>
        <w:r w:rsidRPr="00A47E7E">
          <w:rPr>
            <w:noProof/>
            <w:webHidden/>
          </w:rPr>
        </w:r>
        <w:r w:rsidRPr="00A47E7E">
          <w:rPr>
            <w:noProof/>
            <w:webHidden/>
          </w:rPr>
          <w:fldChar w:fldCharType="separate"/>
        </w:r>
        <w:r w:rsidR="001976ED">
          <w:rPr>
            <w:noProof/>
            <w:webHidden/>
          </w:rPr>
          <w:t>16</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Pr="00A47E7E">
          <w:rPr>
            <w:noProof/>
            <w:webHidden/>
          </w:rPr>
          <w:fldChar w:fldCharType="begin"/>
        </w:r>
        <w:r w:rsidR="0009145D" w:rsidRPr="00A47E7E">
          <w:rPr>
            <w:noProof/>
            <w:webHidden/>
          </w:rPr>
          <w:instrText xml:space="preserve"> PAGEREF _Toc506796511 \h </w:instrText>
        </w:r>
        <w:r w:rsidRPr="00A47E7E">
          <w:rPr>
            <w:noProof/>
            <w:webHidden/>
          </w:rPr>
        </w:r>
        <w:r w:rsidRPr="00A47E7E">
          <w:rPr>
            <w:noProof/>
            <w:webHidden/>
          </w:rPr>
          <w:fldChar w:fldCharType="separate"/>
        </w:r>
        <w:r w:rsidR="001976ED">
          <w:rPr>
            <w:noProof/>
            <w:webHidden/>
          </w:rPr>
          <w:t>16</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_Toc506796512 \h </w:instrText>
        </w:r>
        <w:r w:rsidRPr="00A47E7E">
          <w:rPr>
            <w:noProof/>
            <w:webHidden/>
          </w:rPr>
        </w:r>
        <w:r w:rsidRPr="00A47E7E">
          <w:rPr>
            <w:noProof/>
            <w:webHidden/>
          </w:rPr>
          <w:fldChar w:fldCharType="separate"/>
        </w:r>
        <w:r w:rsidR="001976ED">
          <w:rPr>
            <w:noProof/>
            <w:webHidden/>
          </w:rPr>
          <w:t>17</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Pr="00A47E7E">
          <w:rPr>
            <w:noProof/>
            <w:webHidden/>
          </w:rPr>
          <w:fldChar w:fldCharType="begin"/>
        </w:r>
        <w:r w:rsidR="0009145D" w:rsidRPr="00A47E7E">
          <w:rPr>
            <w:noProof/>
            <w:webHidden/>
          </w:rPr>
          <w:instrText xml:space="preserve"> PAGEREF _Toc506796513 \h </w:instrText>
        </w:r>
        <w:r w:rsidRPr="00A47E7E">
          <w:rPr>
            <w:noProof/>
            <w:webHidden/>
          </w:rPr>
        </w:r>
        <w:r w:rsidRPr="00A47E7E">
          <w:rPr>
            <w:noProof/>
            <w:webHidden/>
          </w:rPr>
          <w:fldChar w:fldCharType="separate"/>
        </w:r>
        <w:r w:rsidR="001976ED">
          <w:rPr>
            <w:noProof/>
            <w:webHidden/>
          </w:rPr>
          <w:t>18</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_Toc506796514 \h </w:instrText>
        </w:r>
        <w:r w:rsidRPr="00A47E7E">
          <w:rPr>
            <w:noProof/>
            <w:webHidden/>
          </w:rPr>
        </w:r>
        <w:r w:rsidRPr="00A47E7E">
          <w:rPr>
            <w:noProof/>
            <w:webHidden/>
          </w:rPr>
          <w:fldChar w:fldCharType="separate"/>
        </w:r>
        <w:r w:rsidR="001976ED">
          <w:rPr>
            <w:noProof/>
            <w:webHidden/>
          </w:rPr>
          <w:t>18</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_Toc506796515 \h </w:instrText>
        </w:r>
        <w:r w:rsidRPr="00A47E7E">
          <w:rPr>
            <w:noProof/>
            <w:webHidden/>
          </w:rPr>
        </w:r>
        <w:r w:rsidRPr="00A47E7E">
          <w:rPr>
            <w:noProof/>
            <w:webHidden/>
          </w:rPr>
          <w:fldChar w:fldCharType="separate"/>
        </w:r>
        <w:r w:rsidR="001976ED">
          <w:rPr>
            <w:noProof/>
            <w:webHidden/>
          </w:rPr>
          <w:t>19</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Pr="00A47E7E">
          <w:rPr>
            <w:noProof/>
            <w:webHidden/>
          </w:rPr>
          <w:fldChar w:fldCharType="begin"/>
        </w:r>
        <w:r w:rsidR="0009145D" w:rsidRPr="00A47E7E">
          <w:rPr>
            <w:noProof/>
            <w:webHidden/>
          </w:rPr>
          <w:instrText xml:space="preserve"> PAGEREF _Toc506796516 \h </w:instrText>
        </w:r>
        <w:r w:rsidRPr="00A47E7E">
          <w:rPr>
            <w:noProof/>
            <w:webHidden/>
          </w:rPr>
        </w:r>
        <w:r w:rsidRPr="00A47E7E">
          <w:rPr>
            <w:noProof/>
            <w:webHidden/>
          </w:rPr>
          <w:fldChar w:fldCharType="separate"/>
        </w:r>
        <w:r w:rsidR="001976ED">
          <w:rPr>
            <w:noProof/>
            <w:webHidden/>
          </w:rPr>
          <w:t>19</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Pr="00A47E7E">
          <w:rPr>
            <w:noProof/>
            <w:webHidden/>
          </w:rPr>
          <w:fldChar w:fldCharType="begin"/>
        </w:r>
        <w:r w:rsidR="0009145D" w:rsidRPr="00A47E7E">
          <w:rPr>
            <w:noProof/>
            <w:webHidden/>
          </w:rPr>
          <w:instrText xml:space="preserve"> PAGEREF _Toc506796517 \h </w:instrText>
        </w:r>
        <w:r w:rsidRPr="00A47E7E">
          <w:rPr>
            <w:noProof/>
            <w:webHidden/>
          </w:rPr>
        </w:r>
        <w:r w:rsidRPr="00A47E7E">
          <w:rPr>
            <w:noProof/>
            <w:webHidden/>
          </w:rPr>
          <w:fldChar w:fldCharType="separate"/>
        </w:r>
        <w:r w:rsidR="001976ED">
          <w:rPr>
            <w:noProof/>
            <w:webHidden/>
          </w:rPr>
          <w:t>20</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Pr="00A47E7E">
          <w:rPr>
            <w:noProof/>
            <w:webHidden/>
          </w:rPr>
          <w:fldChar w:fldCharType="begin"/>
        </w:r>
        <w:r w:rsidR="0009145D" w:rsidRPr="00A47E7E">
          <w:rPr>
            <w:noProof/>
            <w:webHidden/>
          </w:rPr>
          <w:instrText xml:space="preserve"> PAGEREF _Toc506796518 \h </w:instrText>
        </w:r>
        <w:r w:rsidRPr="00A47E7E">
          <w:rPr>
            <w:noProof/>
            <w:webHidden/>
          </w:rPr>
        </w:r>
        <w:r w:rsidRPr="00A47E7E">
          <w:rPr>
            <w:noProof/>
            <w:webHidden/>
          </w:rPr>
          <w:fldChar w:fldCharType="separate"/>
        </w:r>
        <w:r w:rsidR="001976ED">
          <w:rPr>
            <w:noProof/>
            <w:webHidden/>
          </w:rPr>
          <w:t>20</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_Toc506796519 \h </w:instrText>
        </w:r>
        <w:r w:rsidRPr="00A47E7E">
          <w:rPr>
            <w:noProof/>
            <w:webHidden/>
          </w:rPr>
        </w:r>
        <w:r w:rsidRPr="00A47E7E">
          <w:rPr>
            <w:noProof/>
            <w:webHidden/>
          </w:rPr>
          <w:fldChar w:fldCharType="separate"/>
        </w:r>
        <w:r w:rsidR="001976ED">
          <w:rPr>
            <w:noProof/>
            <w:webHidden/>
          </w:rPr>
          <w:t>20</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Pr="00A47E7E">
          <w:rPr>
            <w:noProof/>
            <w:webHidden/>
          </w:rPr>
          <w:fldChar w:fldCharType="begin"/>
        </w:r>
        <w:r w:rsidR="0009145D" w:rsidRPr="00A47E7E">
          <w:rPr>
            <w:noProof/>
            <w:webHidden/>
          </w:rPr>
          <w:instrText xml:space="preserve"> PAGEREF _Toc506796520 \h </w:instrText>
        </w:r>
        <w:r w:rsidRPr="00A47E7E">
          <w:rPr>
            <w:noProof/>
            <w:webHidden/>
          </w:rPr>
        </w:r>
        <w:r w:rsidRPr="00A47E7E">
          <w:rPr>
            <w:noProof/>
            <w:webHidden/>
          </w:rPr>
          <w:fldChar w:fldCharType="separate"/>
        </w:r>
        <w:r w:rsidR="001976ED">
          <w:rPr>
            <w:noProof/>
            <w:webHidden/>
          </w:rPr>
          <w:t>21</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_Toc506796521 \h </w:instrText>
        </w:r>
        <w:r w:rsidRPr="00A47E7E">
          <w:rPr>
            <w:noProof/>
            <w:webHidden/>
          </w:rPr>
        </w:r>
        <w:r w:rsidRPr="00A47E7E">
          <w:rPr>
            <w:noProof/>
            <w:webHidden/>
          </w:rPr>
          <w:fldChar w:fldCharType="separate"/>
        </w:r>
        <w:r w:rsidR="001976ED">
          <w:rPr>
            <w:noProof/>
            <w:webHidden/>
          </w:rPr>
          <w:t>21</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_Toc506796522 \h </w:instrText>
        </w:r>
        <w:r w:rsidRPr="00A47E7E">
          <w:rPr>
            <w:noProof/>
            <w:webHidden/>
          </w:rPr>
        </w:r>
        <w:r w:rsidRPr="00A47E7E">
          <w:rPr>
            <w:noProof/>
            <w:webHidden/>
          </w:rPr>
          <w:fldChar w:fldCharType="separate"/>
        </w:r>
        <w:r w:rsidR="001976ED">
          <w:rPr>
            <w:noProof/>
            <w:webHidden/>
          </w:rPr>
          <w:t>22</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Pr="00A47E7E">
          <w:rPr>
            <w:noProof/>
            <w:webHidden/>
          </w:rPr>
          <w:fldChar w:fldCharType="begin"/>
        </w:r>
        <w:r w:rsidR="0009145D" w:rsidRPr="00A47E7E">
          <w:rPr>
            <w:noProof/>
            <w:webHidden/>
          </w:rPr>
          <w:instrText xml:space="preserve"> PAGEREF _Toc506796523 \h </w:instrText>
        </w:r>
        <w:r w:rsidRPr="00A47E7E">
          <w:rPr>
            <w:noProof/>
            <w:webHidden/>
          </w:rPr>
        </w:r>
        <w:r w:rsidRPr="00A47E7E">
          <w:rPr>
            <w:noProof/>
            <w:webHidden/>
          </w:rPr>
          <w:fldChar w:fldCharType="separate"/>
        </w:r>
        <w:r w:rsidR="001976ED">
          <w:rPr>
            <w:noProof/>
            <w:webHidden/>
          </w:rPr>
          <w:t>22</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Pr="00A47E7E">
          <w:rPr>
            <w:noProof/>
            <w:webHidden/>
          </w:rPr>
          <w:fldChar w:fldCharType="begin"/>
        </w:r>
        <w:r w:rsidR="0009145D" w:rsidRPr="00A47E7E">
          <w:rPr>
            <w:noProof/>
            <w:webHidden/>
          </w:rPr>
          <w:instrText xml:space="preserve"> PAGEREF _Toc506796524 \h </w:instrText>
        </w:r>
        <w:r w:rsidRPr="00A47E7E">
          <w:rPr>
            <w:noProof/>
            <w:webHidden/>
          </w:rPr>
        </w:r>
        <w:r w:rsidRPr="00A47E7E">
          <w:rPr>
            <w:noProof/>
            <w:webHidden/>
          </w:rPr>
          <w:fldChar w:fldCharType="separate"/>
        </w:r>
        <w:r w:rsidR="001976ED">
          <w:rPr>
            <w:noProof/>
            <w:webHidden/>
          </w:rPr>
          <w:t>22</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_Toc506796525 \h </w:instrText>
        </w:r>
        <w:r w:rsidRPr="00A47E7E">
          <w:rPr>
            <w:noProof/>
            <w:webHidden/>
          </w:rPr>
        </w:r>
        <w:r w:rsidRPr="00A47E7E">
          <w:rPr>
            <w:noProof/>
            <w:webHidden/>
          </w:rPr>
          <w:fldChar w:fldCharType="separate"/>
        </w:r>
        <w:r w:rsidR="001976ED">
          <w:rPr>
            <w:noProof/>
            <w:webHidden/>
          </w:rPr>
          <w:t>22</w:t>
        </w:r>
        <w:r w:rsidRPr="00A47E7E">
          <w:rPr>
            <w:noProof/>
            <w:webHidden/>
          </w:rPr>
          <w:fldChar w:fldCharType="end"/>
        </w:r>
      </w:hyperlink>
    </w:p>
    <w:p w:rsidR="0009145D" w:rsidRPr="00A47E7E" w:rsidRDefault="005424A9"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Pr="00A47E7E">
          <w:rPr>
            <w:noProof/>
            <w:webHidden/>
          </w:rPr>
          <w:fldChar w:fldCharType="begin"/>
        </w:r>
        <w:r w:rsidR="0009145D" w:rsidRPr="00A47E7E">
          <w:rPr>
            <w:noProof/>
            <w:webHidden/>
          </w:rPr>
          <w:instrText xml:space="preserve"> PAGEREF _Toc506796526 \h </w:instrText>
        </w:r>
        <w:r w:rsidRPr="00A47E7E">
          <w:rPr>
            <w:noProof/>
            <w:webHidden/>
          </w:rPr>
        </w:r>
        <w:r w:rsidRPr="00A47E7E">
          <w:rPr>
            <w:noProof/>
            <w:webHidden/>
          </w:rPr>
          <w:fldChar w:fldCharType="separate"/>
        </w:r>
        <w:r w:rsidR="001976ED">
          <w:rPr>
            <w:noProof/>
            <w:webHidden/>
          </w:rPr>
          <w:t>22</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Pr="00A47E7E">
          <w:rPr>
            <w:noProof/>
            <w:webHidden/>
          </w:rPr>
          <w:fldChar w:fldCharType="begin"/>
        </w:r>
        <w:r w:rsidR="0009145D" w:rsidRPr="00A47E7E">
          <w:rPr>
            <w:noProof/>
            <w:webHidden/>
          </w:rPr>
          <w:instrText xml:space="preserve"> PAGEREF _Toc506796527 \h </w:instrText>
        </w:r>
        <w:r w:rsidRPr="00A47E7E">
          <w:rPr>
            <w:noProof/>
            <w:webHidden/>
          </w:rPr>
        </w:r>
        <w:r w:rsidRPr="00A47E7E">
          <w:rPr>
            <w:noProof/>
            <w:webHidden/>
          </w:rPr>
          <w:fldChar w:fldCharType="separate"/>
        </w:r>
        <w:r w:rsidR="001976ED">
          <w:rPr>
            <w:noProof/>
            <w:webHidden/>
          </w:rPr>
          <w:t>23</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Pr="00A47E7E">
          <w:rPr>
            <w:noProof/>
            <w:webHidden/>
          </w:rPr>
          <w:fldChar w:fldCharType="begin"/>
        </w:r>
        <w:r w:rsidR="0009145D" w:rsidRPr="00A47E7E">
          <w:rPr>
            <w:noProof/>
            <w:webHidden/>
          </w:rPr>
          <w:instrText xml:space="preserve"> PAGEREF _Toc506796528 \h </w:instrText>
        </w:r>
        <w:r w:rsidRPr="00A47E7E">
          <w:rPr>
            <w:noProof/>
            <w:webHidden/>
          </w:rPr>
        </w:r>
        <w:r w:rsidRPr="00A47E7E">
          <w:rPr>
            <w:noProof/>
            <w:webHidden/>
          </w:rPr>
          <w:fldChar w:fldCharType="separate"/>
        </w:r>
        <w:r w:rsidR="001976ED">
          <w:rPr>
            <w:noProof/>
            <w:webHidden/>
          </w:rPr>
          <w:t>23</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Pr="00A47E7E">
          <w:rPr>
            <w:noProof/>
            <w:webHidden/>
          </w:rPr>
          <w:fldChar w:fldCharType="begin"/>
        </w:r>
        <w:r w:rsidR="0009145D" w:rsidRPr="00A47E7E">
          <w:rPr>
            <w:noProof/>
            <w:webHidden/>
          </w:rPr>
          <w:instrText xml:space="preserve"> PAGEREF _Toc506796529 \h </w:instrText>
        </w:r>
        <w:r w:rsidRPr="00A47E7E">
          <w:rPr>
            <w:noProof/>
            <w:webHidden/>
          </w:rPr>
        </w:r>
        <w:r w:rsidRPr="00A47E7E">
          <w:rPr>
            <w:noProof/>
            <w:webHidden/>
          </w:rPr>
          <w:fldChar w:fldCharType="separate"/>
        </w:r>
        <w:r w:rsidR="001976ED">
          <w:rPr>
            <w:noProof/>
            <w:webHidden/>
          </w:rPr>
          <w:t>24</w:t>
        </w:r>
        <w:r w:rsidRPr="00A47E7E">
          <w:rPr>
            <w:noProof/>
            <w:webHidden/>
          </w:rPr>
          <w:fldChar w:fldCharType="end"/>
        </w:r>
      </w:hyperlink>
    </w:p>
    <w:p w:rsidR="0009145D" w:rsidRPr="00A47E7E" w:rsidRDefault="005424A9">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Pr="00A47E7E">
          <w:rPr>
            <w:noProof/>
            <w:webHidden/>
          </w:rPr>
          <w:fldChar w:fldCharType="begin"/>
        </w:r>
        <w:r w:rsidR="0009145D" w:rsidRPr="00A47E7E">
          <w:rPr>
            <w:noProof/>
            <w:webHidden/>
          </w:rPr>
          <w:instrText xml:space="preserve"> PAGEREF _Toc506796530 \h </w:instrText>
        </w:r>
        <w:r w:rsidRPr="00A47E7E">
          <w:rPr>
            <w:noProof/>
            <w:webHidden/>
          </w:rPr>
        </w:r>
        <w:r w:rsidRPr="00A47E7E">
          <w:rPr>
            <w:noProof/>
            <w:webHidden/>
          </w:rPr>
          <w:fldChar w:fldCharType="separate"/>
        </w:r>
        <w:r w:rsidR="001976ED">
          <w:rPr>
            <w:noProof/>
            <w:webHidden/>
          </w:rPr>
          <w:t>24</w:t>
        </w:r>
        <w:r w:rsidRPr="00A47E7E">
          <w:rPr>
            <w:noProof/>
            <w:webHidden/>
          </w:rPr>
          <w:fldChar w:fldCharType="end"/>
        </w:r>
      </w:hyperlink>
    </w:p>
    <w:p w:rsidR="0009145D" w:rsidRDefault="005424A9">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Pr="00A47E7E">
          <w:rPr>
            <w:noProof/>
            <w:webHidden/>
          </w:rPr>
          <w:fldChar w:fldCharType="begin"/>
        </w:r>
        <w:r w:rsidR="0009145D" w:rsidRPr="00A47E7E">
          <w:rPr>
            <w:noProof/>
            <w:webHidden/>
          </w:rPr>
          <w:instrText xml:space="preserve"> PAGEREF _Toc506796531 \h </w:instrText>
        </w:r>
        <w:r w:rsidRPr="00A47E7E">
          <w:rPr>
            <w:noProof/>
            <w:webHidden/>
          </w:rPr>
        </w:r>
        <w:r w:rsidRPr="00A47E7E">
          <w:rPr>
            <w:noProof/>
            <w:webHidden/>
          </w:rPr>
          <w:fldChar w:fldCharType="separate"/>
        </w:r>
        <w:r w:rsidR="001976ED">
          <w:rPr>
            <w:noProof/>
            <w:webHidden/>
          </w:rPr>
          <w:t>25</w:t>
        </w:r>
        <w:r w:rsidRPr="00A47E7E">
          <w:rPr>
            <w:noProof/>
            <w:webHidden/>
          </w:rPr>
          <w:fldChar w:fldCharType="end"/>
        </w:r>
      </w:hyperlink>
    </w:p>
    <w:p w:rsidR="00C84A1D" w:rsidRPr="00C84A1D" w:rsidRDefault="00C84A1D" w:rsidP="00C84A1D">
      <w:r>
        <w:lastRenderedPageBreak/>
        <w:t>XXII</w:t>
      </w:r>
      <w:r w:rsidR="008F739F">
        <w:t>.</w:t>
      </w:r>
      <w:r>
        <w:t xml:space="preserve"> </w:t>
      </w:r>
      <w:r w:rsidR="00FD327F">
        <w:t xml:space="preserve">FINANSIJSKI INSTRUMENTI - </w:t>
      </w:r>
      <w:r w:rsidR="002F3279">
        <w:t xml:space="preserve"> 31.12.2018</w:t>
      </w:r>
      <w:r w:rsidR="008F739F">
        <w:t>…….……………………………….26</w:t>
      </w:r>
    </w:p>
    <w:p w:rsidR="00C84A1D" w:rsidRPr="00C84A1D" w:rsidRDefault="00C84A1D" w:rsidP="00C84A1D"/>
    <w:p w:rsidR="00B64A52" w:rsidRPr="00A47E7E" w:rsidRDefault="005424A9" w:rsidP="0033169F">
      <w:pPr>
        <w:jc w:val="both"/>
        <w:rPr>
          <w:rFonts w:ascii="Calibri" w:hAnsi="Calibri" w:cs="Calibri"/>
        </w:rPr>
      </w:pPr>
      <w:r w:rsidRPr="00A47E7E">
        <w:rPr>
          <w:rFonts w:ascii="Calibri" w:hAnsi="Calibri" w:cs="Calibri"/>
        </w:rPr>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5C5B68"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Broj</w:t>
      </w:r>
      <w:r w:rsidRPr="00FD327F">
        <w:rPr>
          <w:rFonts w:ascii="Calibri" w:hAnsi="Calibri" w:cs="Calibri"/>
          <w:lang w:val="hr-HR"/>
        </w:rPr>
        <w:t xml:space="preserve">: </w:t>
      </w:r>
      <w:r w:rsidR="00FD327F" w:rsidRPr="00FD327F">
        <w:rPr>
          <w:rFonts w:ascii="Calibri" w:hAnsi="Calibri" w:cs="Calibri"/>
          <w:lang w:val="hr-HR"/>
        </w:rPr>
        <w:t>01-UP-51-445-8/18</w:t>
      </w:r>
      <w:r w:rsidR="00FD327F">
        <w:rPr>
          <w:rFonts w:ascii="Calibri" w:hAnsi="Calibri" w:cs="Calibri"/>
          <w:lang w:val="hr-HR"/>
        </w:rPr>
        <w:t xml:space="preserve"> od 12.10.2018. god.</w:t>
      </w:r>
      <w:r w:rsidRPr="00A47E7E">
        <w:rPr>
          <w:rFonts w:ascii="Calibri" w:hAnsi="Calibri" w:cs="Calibri"/>
          <w:lang w:val="hr-HR"/>
        </w:rPr>
        <w:t xml:space="preserve"> odobreno je </w:t>
      </w:r>
      <w:r w:rsidR="005C5B68">
        <w:rPr>
          <w:rFonts w:ascii="Calibri" w:hAnsi="Calibri" w:cs="Calibri"/>
          <w:lang w:val="hr-HR"/>
        </w:rPr>
        <w:t>potpuno</w:t>
      </w:r>
      <w:r w:rsidRPr="00A47E7E">
        <w:rPr>
          <w:rFonts w:ascii="Calibri" w:hAnsi="Calibri" w:cs="Calibri"/>
          <w:lang w:val="hr-HR"/>
        </w:rPr>
        <w:t xml:space="preserve">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w:t>
      </w:r>
      <w:r w:rsidR="005C5B68">
        <w:rPr>
          <w:rFonts w:ascii="Calibri" w:hAnsi="Calibri" w:cs="Calibri"/>
          <w:lang w:val="hr-HR"/>
        </w:rPr>
        <w:t>m riješenjem Društvu je odobren</w:t>
      </w:r>
      <w:r w:rsidRPr="00A47E7E">
        <w:rPr>
          <w:rFonts w:ascii="Calibri" w:hAnsi="Calibri" w:cs="Calibri"/>
          <w:lang w:val="hr-HR"/>
        </w:rPr>
        <w:t xml:space="preserve"> </w:t>
      </w:r>
      <w:r w:rsidR="005C5B68">
        <w:rPr>
          <w:rFonts w:ascii="Calibri" w:hAnsi="Calibri" w:cs="Calibri"/>
          <w:lang w:val="hr-HR"/>
        </w:rPr>
        <w:t>prenos</w:t>
      </w:r>
      <w:r w:rsidRPr="00A47E7E">
        <w:rPr>
          <w:rFonts w:ascii="Calibri" w:hAnsi="Calibri" w:cs="Calibri"/>
          <w:lang w:val="hr-HR"/>
        </w:rPr>
        <w:t xml:space="preserve"> imovine rad</w:t>
      </w:r>
      <w:r w:rsidR="00665200">
        <w:rPr>
          <w:rFonts w:ascii="Calibri" w:hAnsi="Calibri" w:cs="Calibri"/>
          <w:lang w:val="hr-HR"/>
        </w:rPr>
        <w:t xml:space="preserve">i osnivanja Otvorenog </w:t>
      </w:r>
      <w:r w:rsidR="005C5B68">
        <w:rPr>
          <w:rFonts w:ascii="Calibri" w:hAnsi="Calibri" w:cs="Calibri"/>
          <w:lang w:val="hr-HR"/>
        </w:rPr>
        <w:t>novčanog</w:t>
      </w:r>
      <w:r w:rsidRPr="00A47E7E">
        <w:rPr>
          <w:rFonts w:ascii="Calibri" w:hAnsi="Calibri" w:cs="Calibri"/>
          <w:lang w:val="hr-HR"/>
        </w:rPr>
        <w:t xml:space="preserve"> investicionog fonda </w:t>
      </w:r>
      <w:r w:rsidR="005C5B68">
        <w:rPr>
          <w:rFonts w:ascii="Calibri" w:hAnsi="Calibri" w:cs="Calibri"/>
          <w:lang w:val="hr-HR"/>
        </w:rPr>
        <w:t>Cash</w:t>
      </w:r>
      <w:r w:rsidR="00665200">
        <w:rPr>
          <w:rFonts w:ascii="Calibri" w:hAnsi="Calibri" w:cs="Calibri"/>
          <w:lang w:val="hr-HR"/>
        </w:rPr>
        <w:t xml:space="preserve"> fund </w:t>
      </w:r>
      <w:r w:rsidRPr="00A47E7E">
        <w:rPr>
          <w:rFonts w:ascii="Calibri" w:hAnsi="Calibri" w:cs="Calibri"/>
          <w:lang w:val="hr-HR"/>
        </w:rPr>
        <w:t xml:space="preserve">u skladu sa Odlukom o </w:t>
      </w:r>
      <w:r w:rsidR="005C5B68">
        <w:rPr>
          <w:rFonts w:ascii="Calibri" w:hAnsi="Calibri" w:cs="Calibri"/>
          <w:lang w:val="hr-HR"/>
        </w:rPr>
        <w:t>potpunom</w:t>
      </w:r>
      <w:r w:rsidRPr="00A47E7E">
        <w:rPr>
          <w:rFonts w:ascii="Calibri" w:hAnsi="Calibri" w:cs="Calibri"/>
          <w:lang w:val="hr-HR"/>
        </w:rPr>
        <w:t xml:space="preserve">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FD327F">
        <w:rPr>
          <w:rFonts w:ascii="Calibri" w:hAnsi="Calibri" w:cs="Calibri"/>
          <w:lang w:val="hr-HR"/>
        </w:rPr>
        <w:t>220</w:t>
      </w:r>
      <w:r w:rsidR="00D1329C" w:rsidRPr="00D1329C">
        <w:rPr>
          <w:rFonts w:ascii="Calibri" w:hAnsi="Calibri" w:cs="Calibri"/>
          <w:lang w:val="hr-HR"/>
        </w:rPr>
        <w:t>-</w:t>
      </w:r>
      <w:r w:rsidR="00FD327F" w:rsidRPr="00FD327F">
        <w:rPr>
          <w:rFonts w:ascii="Calibri" w:hAnsi="Calibri" w:cs="Calibri"/>
          <w:lang w:val="hr-HR"/>
        </w:rPr>
        <w:t>SKZMIF/18</w:t>
      </w:r>
      <w:r w:rsidR="00D1329C" w:rsidRPr="00FD327F">
        <w:rPr>
          <w:rFonts w:ascii="Calibri" w:hAnsi="Calibri" w:cs="Calibri"/>
          <w:lang w:val="hr-HR"/>
        </w:rPr>
        <w:t xml:space="preserve"> od </w:t>
      </w:r>
      <w:r w:rsidR="00FD327F" w:rsidRPr="00FD327F">
        <w:rPr>
          <w:rFonts w:ascii="Calibri" w:hAnsi="Calibri" w:cs="Calibri"/>
          <w:lang w:val="hr-HR"/>
        </w:rPr>
        <w:t>29.06.2018</w:t>
      </w:r>
      <w:r w:rsidR="00FD327F">
        <w:rPr>
          <w:rFonts w:ascii="Calibri" w:hAnsi="Calibri" w:cs="Calibri"/>
          <w:lang w:val="hr-HR"/>
        </w:rPr>
        <w:t>.</w:t>
      </w:r>
    </w:p>
    <w:p w:rsidR="005C5B68" w:rsidRDefault="005C5B68" w:rsidP="00F64D1D">
      <w:pPr>
        <w:ind w:firstLine="270"/>
        <w:jc w:val="both"/>
        <w:rPr>
          <w:rFonts w:ascii="Calibri" w:hAnsi="Calibri" w:cs="Calibri"/>
          <w:lang w:val="hr-HR"/>
        </w:rPr>
      </w:pPr>
    </w:p>
    <w:p w:rsidR="00F64D1D" w:rsidRPr="00A47E7E" w:rsidRDefault="00665200" w:rsidP="00F64D1D">
      <w:pPr>
        <w:ind w:firstLine="270"/>
        <w:jc w:val="both"/>
        <w:rPr>
          <w:rFonts w:ascii="Calibri" w:hAnsi="Calibri" w:cs="Calibri"/>
          <w:lang w:val="hr-HR"/>
        </w:rPr>
      </w:pPr>
      <w:r>
        <w:rPr>
          <w:rFonts w:ascii="Calibri" w:hAnsi="Calibri" w:cs="Calibri"/>
          <w:lang w:val="hr-HR"/>
        </w:rPr>
        <w:t xml:space="preserve">Dana </w:t>
      </w:r>
      <w:r w:rsidR="005C5B68">
        <w:rPr>
          <w:rFonts w:ascii="Calibri" w:hAnsi="Calibri" w:cs="Calibri"/>
          <w:lang w:val="hr-HR"/>
        </w:rPr>
        <w:t>23.11.2018</w:t>
      </w:r>
      <w:r w:rsidR="00F64D1D" w:rsidRPr="00A47E7E">
        <w:rPr>
          <w:rFonts w:ascii="Calibri" w:hAnsi="Calibri" w:cs="Calibri"/>
          <w:lang w:val="hr-HR"/>
        </w:rPr>
        <w:t>. godine Centralni registar hartija od vrijednosti izvršio je registraciju hartija od vrijednosti - udio u otvorenom investicionom fondu, prva emisija-osnivanje otvor</w:t>
      </w:r>
      <w:r>
        <w:rPr>
          <w:rFonts w:ascii="Calibri" w:hAnsi="Calibri" w:cs="Calibri"/>
          <w:lang w:val="hr-HR"/>
        </w:rPr>
        <w:t xml:space="preserve">enog investicionog fonda </w:t>
      </w:r>
      <w:r w:rsidR="005C5B68">
        <w:rPr>
          <w:rFonts w:ascii="Calibri" w:hAnsi="Calibri" w:cs="Calibri"/>
          <w:lang w:val="hr-HR"/>
        </w:rPr>
        <w:t>Cash</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 xml:space="preserve">d identifikacionim brojem </w:t>
      </w:r>
      <w:r w:rsidR="00FD327F" w:rsidRPr="00FD327F">
        <w:rPr>
          <w:rFonts w:ascii="Calibri" w:hAnsi="Calibri" w:cs="Calibri"/>
          <w:lang w:val="hr-HR"/>
        </w:rPr>
        <w:t>JP-N-</w:t>
      </w:r>
      <w:r w:rsidR="00FD327F">
        <w:rPr>
          <w:rFonts w:ascii="Calibri" w:hAnsi="Calibri" w:cs="Calibri"/>
          <w:lang w:val="hr-HR"/>
        </w:rPr>
        <w:t>21</w:t>
      </w:r>
      <w:r w:rsidR="00F64D1D" w:rsidRPr="00A47E7E">
        <w:rPr>
          <w:rFonts w:ascii="Calibri" w:hAnsi="Calibri" w:cs="Calibri"/>
          <w:lang w:val="hr-HR"/>
        </w:rPr>
        <w:t xml:space="preserve">. Nakon upisa prve emisije,udjeli fonda nose oznaku </w:t>
      </w:r>
      <w:r w:rsidR="005C5B68">
        <w:rPr>
          <w:rFonts w:ascii="Calibri" w:hAnsi="Calibri" w:cs="Calibri"/>
          <w:lang w:val="sr-Latn-CS"/>
        </w:rPr>
        <w:t>CSHP</w:t>
      </w:r>
      <w:r w:rsidR="00F64D1D" w:rsidRPr="00A47E7E">
        <w:rPr>
          <w:rFonts w:ascii="Calibri" w:hAnsi="Calibri" w:cs="Calibri"/>
          <w:lang w:val="sr-Latn-CS"/>
        </w:rPr>
        <w:t xml:space="preserve">-U-A, a od </w:t>
      </w:r>
      <w:r w:rsidR="005C5B68">
        <w:rPr>
          <w:rFonts w:ascii="Calibri" w:hAnsi="Calibri" w:cs="Calibri"/>
          <w:lang w:val="sr-Latn-CS"/>
        </w:rPr>
        <w:t>04.12.2018</w:t>
      </w:r>
      <w:r w:rsidR="00F64D1D" w:rsidRPr="00A47E7E">
        <w:rPr>
          <w:rFonts w:ascii="Calibri" w:hAnsi="Calibri" w:cs="Calibri"/>
          <w:lang w:val="sr-Latn-CS"/>
        </w:rPr>
        <w:t>.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za poslovnu 201</w:t>
      </w:r>
      <w:r w:rsidR="002710FA">
        <w:rPr>
          <w:rFonts w:ascii="Calibri" w:hAnsi="Calibri" w:cs="Calibri"/>
          <w:lang w:val="sr-Latn-CS"/>
        </w:rPr>
        <w:t>8</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odinu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w:t>
      </w:r>
      <w:r w:rsidRPr="00A47E7E">
        <w:rPr>
          <w:rFonts w:ascii="Calibri" w:hAnsi="Calibri" w:cs="Calibri"/>
          <w:sz w:val="24"/>
          <w:szCs w:val="24"/>
          <w:lang w:val="sr-Latn-CS" w:eastAsia="en-US"/>
        </w:rPr>
        <w:lastRenderedPageBreak/>
        <w:t xml:space="preserve">za prevod i objavljivanje“ nadležne Komisije za računovodstvo i reviziju Bosne i Hercegovine 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F7609E" w:rsidRPr="00A47E7E" w:rsidRDefault="00F7609E" w:rsidP="00F7609E">
      <w:pPr>
        <w:pStyle w:val="ListParagraph"/>
        <w:rPr>
          <w:rFonts w:ascii="Calibri" w:hAnsi="Calibri" w:cs="Calibri"/>
          <w:lang w:val="sr-Latn-CS"/>
        </w:rPr>
      </w:pPr>
    </w:p>
    <w:p w:rsidR="006D6EB6" w:rsidRPr="00A47E7E" w:rsidRDefault="006D6EB6"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lastRenderedPageBreak/>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lastRenderedPageBreak/>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xml:space="preserve">. Zakona zaključno sa danom 31. decembar 2017.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 ili stanju udjela, ako je to potrebno, te troškove isplate udjela u dobiti, troškove godišnje revizije, troškovi izrade, štampanja i poštarine vezani uz polugodišnje i godišnje 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troškova na dan 31. decembra 2017. godine iznosi 3,5%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kao "raspoloživ za prodaju", koji se javlja kao posljedica promjene fer vrijednosti finansijskog sredstva, se priznaje direktno u </w:t>
      </w:r>
      <w:r w:rsidRPr="00A47E7E">
        <w:rPr>
          <w:rFonts w:ascii="Calibri" w:hAnsi="Calibri" w:cs="Calibri"/>
          <w:noProof/>
          <w:sz w:val="24"/>
          <w:szCs w:val="24"/>
          <w:lang w:val="sr-Latn-BA"/>
        </w:rPr>
        <w:lastRenderedPageBreak/>
        <w:t>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lastRenderedPageBreak/>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167822"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w:t>
      </w:r>
      <w:r w:rsidR="00660C00">
        <w:rPr>
          <w:rFonts w:ascii="Calibri" w:hAnsi="Calibri" w:cs="Calibri"/>
          <w:noProof/>
          <w:sz w:val="24"/>
          <w:szCs w:val="24"/>
          <w:lang w:val="sr-Latn-BA"/>
        </w:rPr>
        <w:t>varene za transakcije na berzi u posljednjih 10 dana od kada je bilo trgovanja određenom vlasičkom</w:t>
      </w:r>
      <w:r w:rsidR="00660C00" w:rsidRPr="00660C00">
        <w:rPr>
          <w:rFonts w:ascii="Calibri" w:hAnsi="Calibri" w:cs="Calibri"/>
          <w:noProof/>
          <w:sz w:val="24"/>
          <w:szCs w:val="24"/>
          <w:lang w:val="sr-Latn-BA"/>
        </w:rPr>
        <w:t xml:space="preserve"> </w:t>
      </w:r>
      <w:r w:rsidR="00660C00">
        <w:rPr>
          <w:rFonts w:ascii="Calibri" w:hAnsi="Calibri" w:cs="Calibri"/>
          <w:noProof/>
          <w:sz w:val="24"/>
          <w:szCs w:val="24"/>
          <w:lang w:val="sr-Latn-BA"/>
        </w:rPr>
        <w:t xml:space="preserve">hov u posljednjoj godini </w:t>
      </w:r>
      <w:r w:rsidR="00167822">
        <w:rPr>
          <w:rFonts w:ascii="Calibri" w:hAnsi="Calibri" w:cs="Calibri"/>
          <w:noProof/>
          <w:sz w:val="24"/>
          <w:szCs w:val="24"/>
          <w:lang w:val="sr-Latn-BA"/>
        </w:rPr>
        <w:t>dana</w:t>
      </w:r>
      <w:r w:rsidRPr="00A47E7E">
        <w:rPr>
          <w:rFonts w:ascii="Calibri" w:hAnsi="Calibri" w:cs="Calibri"/>
          <w:noProof/>
          <w:sz w:val="24"/>
          <w:szCs w:val="24"/>
          <w:lang w:val="sr-Latn-BA"/>
        </w:rPr>
        <w:t xml:space="preserve">, a </w:t>
      </w:r>
      <w:r w:rsidR="00167822">
        <w:rPr>
          <w:rFonts w:ascii="Calibri" w:hAnsi="Calibri" w:cs="Calibri"/>
          <w:noProof/>
          <w:sz w:val="24"/>
          <w:szCs w:val="24"/>
          <w:lang w:val="sr-Latn-BA"/>
        </w:rPr>
        <w:t>zaokružuje se na četiri decimalna mjesta</w:t>
      </w:r>
      <w:r w:rsidRPr="00A47E7E">
        <w:rPr>
          <w:rFonts w:ascii="Calibri" w:hAnsi="Calibri" w:cs="Calibri"/>
          <w:noProof/>
          <w:sz w:val="24"/>
          <w:szCs w:val="24"/>
          <w:lang w:val="sr-Latn-BA"/>
        </w:rPr>
        <w:t xml:space="preserve">. U slučaju </w:t>
      </w:r>
      <w:r w:rsidR="00660C00">
        <w:rPr>
          <w:rFonts w:ascii="Calibri" w:hAnsi="Calibri" w:cs="Calibri"/>
          <w:noProof/>
          <w:sz w:val="24"/>
          <w:szCs w:val="24"/>
          <w:lang w:val="sr-Latn-BA"/>
        </w:rPr>
        <w:t xml:space="preserve">da nije bilo 10 dana trgovanja u posljednjih godinu </w:t>
      </w:r>
      <w:r w:rsidR="00167822">
        <w:rPr>
          <w:rFonts w:ascii="Calibri" w:hAnsi="Calibri" w:cs="Calibri"/>
          <w:noProof/>
          <w:sz w:val="24"/>
          <w:szCs w:val="24"/>
          <w:lang w:val="sr-Latn-BA"/>
        </w:rPr>
        <w:t xml:space="preserve">dana </w:t>
      </w:r>
      <w:r w:rsidR="00660C00">
        <w:rPr>
          <w:rFonts w:ascii="Calibri" w:hAnsi="Calibri" w:cs="Calibri"/>
          <w:noProof/>
          <w:sz w:val="24"/>
          <w:szCs w:val="24"/>
          <w:lang w:val="sr-Latn-BA"/>
        </w:rPr>
        <w:t xml:space="preserve">ver vrijednost se utvrđuje </w:t>
      </w:r>
      <w:r w:rsidR="00167822">
        <w:rPr>
          <w:rFonts w:ascii="Calibri" w:hAnsi="Calibri" w:cs="Calibri"/>
          <w:noProof/>
          <w:sz w:val="24"/>
          <w:szCs w:val="24"/>
          <w:lang w:val="sr-Latn-BA"/>
        </w:rPr>
        <w:t>u iznosu koji je manji od sljedeće dvije vrijednosti:</w:t>
      </w:r>
    </w:p>
    <w:p w:rsidR="00167822" w:rsidRDefault="00167822" w:rsidP="00167822">
      <w:pPr>
        <w:pStyle w:val="Header"/>
        <w:numPr>
          <w:ilvl w:val="0"/>
          <w:numId w:val="43"/>
        </w:numPr>
        <w:suppressAutoHyphens/>
        <w:jc w:val="both"/>
        <w:rPr>
          <w:rFonts w:ascii="Calibri" w:hAnsi="Calibri" w:cs="Calibri"/>
          <w:noProof/>
          <w:sz w:val="24"/>
          <w:szCs w:val="24"/>
          <w:lang w:val="sr-Latn-BA"/>
        </w:rPr>
      </w:pPr>
      <w:r>
        <w:rPr>
          <w:rFonts w:ascii="Calibri" w:hAnsi="Calibri" w:cs="Calibri"/>
          <w:noProof/>
          <w:sz w:val="24"/>
          <w:szCs w:val="24"/>
          <w:lang w:val="sr-Latn-BA"/>
        </w:rPr>
        <w:t>procijenjenoj vrijednosti utvrđene  u skaldu sa „Pravilnikom“</w:t>
      </w:r>
    </w:p>
    <w:p w:rsidR="00660C00" w:rsidRDefault="00167822" w:rsidP="00167822">
      <w:pPr>
        <w:pStyle w:val="Header"/>
        <w:numPr>
          <w:ilvl w:val="0"/>
          <w:numId w:val="43"/>
        </w:numPr>
        <w:suppressAutoHyphens/>
        <w:jc w:val="both"/>
        <w:rPr>
          <w:rFonts w:ascii="Calibri" w:hAnsi="Calibri" w:cs="Calibri"/>
          <w:noProof/>
          <w:sz w:val="24"/>
          <w:szCs w:val="24"/>
          <w:lang w:val="sr-Latn-BA"/>
        </w:rPr>
      </w:pPr>
      <w:r>
        <w:rPr>
          <w:rFonts w:ascii="Calibri" w:hAnsi="Calibri" w:cs="Calibri"/>
          <w:noProof/>
          <w:sz w:val="24"/>
          <w:szCs w:val="24"/>
          <w:lang w:val="sr-Latn-BA"/>
        </w:rPr>
        <w:t xml:space="preserve">prosječne ponderisane cijene za ostvarene transakcije na dan kada je posljednji put bilo trgovanja tom hov na berzi  </w:t>
      </w:r>
      <w:r w:rsidR="00660C00">
        <w:rPr>
          <w:rFonts w:ascii="Calibri" w:hAnsi="Calibri" w:cs="Calibri"/>
          <w:noProof/>
          <w:sz w:val="24"/>
          <w:szCs w:val="24"/>
          <w:lang w:val="sr-Latn-BA"/>
        </w:rPr>
        <w:t xml:space="preserve"> </w:t>
      </w:r>
    </w:p>
    <w:p w:rsidR="00660C00" w:rsidRDefault="00660C00"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p>
    <w:p w:rsidR="00167822" w:rsidRDefault="00167822" w:rsidP="00167822">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lastRenderedPageBreak/>
        <w:t>Fer vrijednost vlasničkih hartija od vrijednosti kojima se trguje u inostranstvu na uređenim tržištima u državi članici EU, OECD i CEFTA fer vrijednost se izračunava na osnovu</w:t>
      </w:r>
      <w:r>
        <w:rPr>
          <w:rFonts w:ascii="Calibri" w:hAnsi="Calibri" w:cs="Calibri"/>
          <w:noProof/>
          <w:sz w:val="24"/>
          <w:szCs w:val="24"/>
          <w:lang w:val="sr-Latn-BA"/>
        </w:rPr>
        <w:t xml:space="preserve"> posljednje cijene ostvarene tog dana na matičnoj berzi emitenta ili berzi koja je definisana kao primarni izvor cijene odnosne hartije od vrijednosti koja je uvrštena na berzansko tržište. </w:t>
      </w:r>
    </w:p>
    <w:p w:rsidR="00167822" w:rsidRDefault="00167822" w:rsidP="00167822">
      <w:pPr>
        <w:pStyle w:val="Header"/>
        <w:suppressAutoHyphens/>
        <w:jc w:val="both"/>
        <w:rPr>
          <w:rFonts w:ascii="Calibri" w:hAnsi="Calibri" w:cs="Calibri"/>
          <w:noProof/>
          <w:sz w:val="24"/>
          <w:szCs w:val="24"/>
          <w:lang w:val="sr-Latn-BA"/>
        </w:rPr>
      </w:pPr>
    </w:p>
    <w:p w:rsidR="00167822" w:rsidRDefault="00167822" w:rsidP="00167822">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t>U slučaju trgovanja na uređenim tržištima izvan tržišta država članica EU, OECD i CEFTA fer vrijednost</w:t>
      </w:r>
      <w:r>
        <w:rPr>
          <w:rFonts w:ascii="Calibri" w:hAnsi="Calibri" w:cs="Calibri"/>
          <w:noProof/>
          <w:sz w:val="24"/>
          <w:szCs w:val="24"/>
          <w:lang w:val="sr-Latn-BA"/>
        </w:rPr>
        <w:t xml:space="preserve"> vlasničkih hartija</w:t>
      </w:r>
      <w:r w:rsidRPr="0077290F">
        <w:rPr>
          <w:rFonts w:ascii="Calibri" w:hAnsi="Calibri" w:cs="Calibri"/>
          <w:noProof/>
          <w:sz w:val="24"/>
          <w:szCs w:val="24"/>
          <w:lang w:val="sr-Latn-BA"/>
        </w:rPr>
        <w:t xml:space="preserve">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w:t>
      </w:r>
      <w:r>
        <w:rPr>
          <w:rFonts w:ascii="Calibri" w:hAnsi="Calibri" w:cs="Calibri"/>
          <w:noProof/>
          <w:sz w:val="24"/>
          <w:szCs w:val="24"/>
          <w:lang w:val="sr-Latn-BA"/>
        </w:rPr>
        <w:t xml:space="preserve">U slučaju nepostojanja navedenih tržišnih cijena njihova fer vrijednost se utvrđuje u iznosu koji je manji od sljedeće dvije vrijednosti: </w:t>
      </w:r>
    </w:p>
    <w:p w:rsidR="00167822" w:rsidRDefault="00167822" w:rsidP="00167822">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procjenjenoj vrijednosti utvrđene procjenom u skladu sa „Pravilnikom“ ,</w:t>
      </w:r>
    </w:p>
    <w:p w:rsidR="00167822" w:rsidRDefault="00167822" w:rsidP="00167822">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xml:space="preserve">* cijene na zatvaranju na dan kada je posljednji put bilo trgovanja na tržištu tom vlasničkom hartijom  od vrijednosti. </w:t>
      </w:r>
    </w:p>
    <w:p w:rsidR="00167822" w:rsidRPr="000A6E6E" w:rsidRDefault="00167822" w:rsidP="00167822">
      <w:pPr>
        <w:pStyle w:val="Header"/>
        <w:suppressAutoHyphens/>
        <w:jc w:val="both"/>
        <w:rPr>
          <w:rFonts w:ascii="Calibri" w:hAnsi="Calibri" w:cs="Calibri"/>
          <w:noProof/>
          <w:sz w:val="24"/>
          <w:szCs w:val="24"/>
          <w:lang w:val="sr-Latn-BA"/>
        </w:rPr>
      </w:pPr>
    </w:p>
    <w:p w:rsidR="00167822" w:rsidRDefault="00167822" w:rsidP="00167822">
      <w:pPr>
        <w:pStyle w:val="Header"/>
        <w:suppressAutoHyphens/>
        <w:jc w:val="both"/>
        <w:rPr>
          <w:rFonts w:ascii="Calibri" w:hAnsi="Calibri" w:cs="Calibri"/>
          <w:noProof/>
          <w:sz w:val="24"/>
          <w:szCs w:val="24"/>
          <w:lang w:val="sr-Latn-BA"/>
        </w:rPr>
      </w:pPr>
      <w:r w:rsidRPr="000A6E6E">
        <w:rPr>
          <w:rFonts w:ascii="Calibri" w:hAnsi="Calibri" w:cs="Calibri"/>
          <w:noProof/>
          <w:sz w:val="24"/>
          <w:szCs w:val="24"/>
          <w:lang w:val="sr-Latn-BA"/>
        </w:rPr>
        <w:t>Fer vrijednost dužničkih hartija od vrijednosti kojima se trguje u Republici Srpskoj i u Federaciji Bosne i Hercegovine  obračunava se primjenom prosječne</w:t>
      </w:r>
      <w:r>
        <w:rPr>
          <w:rFonts w:ascii="Calibri" w:hAnsi="Calibri" w:cs="Calibri"/>
          <w:noProof/>
          <w:sz w:val="24"/>
          <w:szCs w:val="24"/>
          <w:lang w:val="sr-Latn-BA"/>
        </w:rPr>
        <w:t xml:space="preserve"> </w:t>
      </w:r>
      <w:r w:rsidRPr="000A6E6E">
        <w:rPr>
          <w:rFonts w:ascii="Calibri" w:hAnsi="Calibri" w:cs="Calibri"/>
          <w:noProof/>
          <w:sz w:val="24"/>
          <w:szCs w:val="24"/>
          <w:lang w:val="sr-Latn-BA"/>
        </w:rPr>
        <w:t>ponderisane cijene trgovanja</w:t>
      </w:r>
      <w:r>
        <w:rPr>
          <w:rFonts w:ascii="Calibri" w:hAnsi="Calibri" w:cs="Calibri"/>
          <w:noProof/>
          <w:sz w:val="24"/>
          <w:szCs w:val="24"/>
          <w:lang w:val="sr-Latn-BA"/>
        </w:rPr>
        <w:t xml:space="preserve"> na dan vrednovanja</w:t>
      </w:r>
      <w:r w:rsidRPr="000A6E6E">
        <w:rPr>
          <w:rFonts w:ascii="Calibri" w:hAnsi="Calibri" w:cs="Calibri"/>
          <w:noProof/>
          <w:sz w:val="24"/>
          <w:szCs w:val="24"/>
          <w:lang w:val="sr-Latn-BA"/>
        </w:rPr>
        <w:t xml:space="preserve">, a zaokružuje se na četiri decimale. </w:t>
      </w:r>
      <w:r>
        <w:rPr>
          <w:rFonts w:ascii="Calibri" w:hAnsi="Calibri" w:cs="Calibri"/>
          <w:noProof/>
          <w:sz w:val="24"/>
          <w:szCs w:val="24"/>
          <w:lang w:val="sr-Latn-BA"/>
        </w:rPr>
        <w:t xml:space="preserve">Fer vrijednost dužničkih hartija od vrijednosti kojima se trguje u inostranstvu na uređenim tržištima u državi EU, OECD, i CEFTA obračunava se na osnovu posljednje cijene ostvarene tog dana na matičnoj berzi emitenta ili berzi koja je definisana kao primarni izvor cijene odnosne hartije od vrijednosti koja je uvrštena na berzansko tržište. Fer vrijednost dužničkih hartija od vrijednosti kojima se trguje na uređenim tržištima izvan država EU, OECD i CEFTA obračunava se na osnovu ponderisane prosječne cijene te hartije ostvarene na berzi na dan vrednovanja. </w:t>
      </w:r>
      <w:r w:rsidRPr="000A6E6E">
        <w:rPr>
          <w:rFonts w:ascii="Calibri" w:hAnsi="Calibri" w:cs="Calibri"/>
          <w:noProof/>
          <w:sz w:val="24"/>
          <w:szCs w:val="24"/>
          <w:lang w:val="sr-Latn-BA"/>
        </w:rPr>
        <w:t xml:space="preserve">U slučaju nepostojanju cijene na dan vrednovanja, vrednovanje dužničkih hartija od vrijednosti </w:t>
      </w:r>
      <w:r>
        <w:rPr>
          <w:rFonts w:ascii="Calibri" w:hAnsi="Calibri" w:cs="Calibri"/>
          <w:noProof/>
          <w:sz w:val="24"/>
          <w:szCs w:val="24"/>
          <w:lang w:val="sr-Latn-BA"/>
        </w:rPr>
        <w:t xml:space="preserve">vrednuje se diskontovanjem tokova gotovine, pri čemu se kao diskontna stopa koristi preovlađujujuća tržišna kamatna stopa za hartije od vrijednosti koje imaju isti ili približan rok dospjeća i isti kreditni rejting. </w:t>
      </w:r>
    </w:p>
    <w:p w:rsidR="00167822" w:rsidRDefault="00167822" w:rsidP="00F35B23">
      <w:pPr>
        <w:pStyle w:val="Header"/>
        <w:suppressAutoHyphens/>
        <w:jc w:val="both"/>
        <w:rPr>
          <w:rFonts w:ascii="Calibri" w:hAnsi="Calibri" w:cs="Calibri"/>
          <w:noProof/>
          <w:sz w:val="24"/>
          <w:szCs w:val="24"/>
          <w:lang w:val="sr-Latn-BA"/>
        </w:rPr>
      </w:pPr>
    </w:p>
    <w:p w:rsidR="00167822" w:rsidRDefault="00167822"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lastRenderedPageBreak/>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Default="00F014B7" w:rsidP="006060FF">
      <w:pPr>
        <w:tabs>
          <w:tab w:val="left" w:pos="-1440"/>
          <w:tab w:val="left" w:pos="-720"/>
          <w:tab w:val="left" w:pos="889"/>
          <w:tab w:val="left" w:pos="1231"/>
          <w:tab w:val="right" w:pos="8960"/>
        </w:tabs>
        <w:jc w:val="both"/>
        <w:rPr>
          <w:rFonts w:ascii="Calibri" w:hAnsi="Calibri" w:cs="Calibri"/>
          <w:noProof/>
        </w:rPr>
      </w:pPr>
    </w:p>
    <w:p w:rsidR="00044C85" w:rsidRPr="00A47E7E" w:rsidRDefault="00044C85" w:rsidP="006060FF">
      <w:pPr>
        <w:tabs>
          <w:tab w:val="left" w:pos="-1440"/>
          <w:tab w:val="left" w:pos="-720"/>
          <w:tab w:val="left" w:pos="889"/>
          <w:tab w:val="left" w:pos="1231"/>
          <w:tab w:val="right" w:pos="8960"/>
        </w:tabs>
        <w:jc w:val="both"/>
        <w:rPr>
          <w:rFonts w:ascii="Calibri" w:hAnsi="Calibri" w:cs="Calibri"/>
          <w:noProof/>
        </w:rPr>
      </w:pPr>
    </w:p>
    <w:p w:rsidR="00C50773" w:rsidRPr="00C048EE" w:rsidRDefault="00EF35D6" w:rsidP="00C048EE">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9424" w:type="dxa"/>
        <w:tblInd w:w="99" w:type="dxa"/>
        <w:tblLook w:val="04A0"/>
      </w:tblPr>
      <w:tblGrid>
        <w:gridCol w:w="4122"/>
        <w:gridCol w:w="2110"/>
        <w:gridCol w:w="1535"/>
        <w:gridCol w:w="1657"/>
      </w:tblGrid>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proofErr w:type="spellStart"/>
            <w:r>
              <w:rPr>
                <w:rFonts w:ascii="Calibri" w:hAnsi="Calibri"/>
                <w:b/>
                <w:bCs/>
                <w:i/>
                <w:iCs/>
                <w:color w:val="000000"/>
              </w:rPr>
              <w:t>Prihodi</w:t>
            </w:r>
            <w:proofErr w:type="spellEnd"/>
            <w:r>
              <w:rPr>
                <w:rFonts w:ascii="Calibri" w:hAnsi="Calibri"/>
                <w:b/>
                <w:bCs/>
                <w:i/>
                <w:iCs/>
                <w:color w:val="000000"/>
              </w:rPr>
              <w:t xml:space="preserve"> </w:t>
            </w:r>
            <w:proofErr w:type="spellStart"/>
            <w:r>
              <w:rPr>
                <w:rFonts w:ascii="Calibri" w:hAnsi="Calibri"/>
                <w:b/>
                <w:bCs/>
                <w:i/>
                <w:iCs/>
                <w:color w:val="000000"/>
              </w:rPr>
              <w:t>od</w:t>
            </w:r>
            <w:proofErr w:type="spellEnd"/>
            <w:r>
              <w:rPr>
                <w:rFonts w:ascii="Calibri" w:hAnsi="Calibri"/>
                <w:b/>
                <w:bCs/>
                <w:i/>
                <w:iCs/>
                <w:color w:val="000000"/>
              </w:rPr>
              <w:t xml:space="preserve"> </w:t>
            </w:r>
            <w:proofErr w:type="spellStart"/>
            <w:r>
              <w:rPr>
                <w:rFonts w:ascii="Calibri" w:hAnsi="Calibri"/>
                <w:b/>
                <w:bCs/>
                <w:i/>
                <w:iCs/>
                <w:color w:val="000000"/>
              </w:rPr>
              <w:t>dividendi</w:t>
            </w:r>
            <w:proofErr w:type="spellEnd"/>
            <w:r>
              <w:rPr>
                <w:rFonts w:ascii="Calibri" w:hAnsi="Calibri"/>
                <w:b/>
                <w:bCs/>
                <w:i/>
                <w:iCs/>
                <w:color w:val="000000"/>
              </w:rPr>
              <w:t>:</w:t>
            </w:r>
          </w:p>
        </w:tc>
        <w:tc>
          <w:tcPr>
            <w:tcW w:w="2110"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2018</w:t>
            </w:r>
          </w:p>
        </w:tc>
        <w:tc>
          <w:tcPr>
            <w:tcW w:w="1535"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2017</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r>
              <w:rPr>
                <w:rFonts w:ascii="Calibri" w:hAnsi="Calibri"/>
                <w:b/>
                <w:bCs/>
                <w:i/>
                <w:iCs/>
                <w:color w:val="000000"/>
              </w:rPr>
              <w:lastRenderedPageBreak/>
              <w:t xml:space="preserve">u </w:t>
            </w:r>
            <w:proofErr w:type="spellStart"/>
            <w:r>
              <w:rPr>
                <w:rFonts w:ascii="Calibri" w:hAnsi="Calibri"/>
                <w:b/>
                <w:bCs/>
                <w:i/>
                <w:iCs/>
                <w:color w:val="000000"/>
              </w:rPr>
              <w:t>novcu</w:t>
            </w:r>
            <w:proofErr w:type="spellEnd"/>
            <w:r>
              <w:rPr>
                <w:rFonts w:ascii="Calibri" w:hAnsi="Calibri"/>
                <w:b/>
                <w:bCs/>
                <w:i/>
                <w:iCs/>
                <w:color w:val="000000"/>
              </w:rPr>
              <w:t xml:space="preserve">- </w:t>
            </w:r>
            <w:proofErr w:type="spellStart"/>
            <w:r>
              <w:rPr>
                <w:rFonts w:ascii="Calibri" w:hAnsi="Calibri"/>
                <w:b/>
                <w:bCs/>
                <w:i/>
                <w:iCs/>
                <w:color w:val="000000"/>
              </w:rPr>
              <w:t>domaći</w:t>
            </w:r>
            <w:proofErr w:type="spellEnd"/>
            <w:r>
              <w:rPr>
                <w:rFonts w:ascii="Calibri" w:hAnsi="Calibri"/>
                <w:b/>
                <w:bCs/>
                <w:i/>
                <w:iCs/>
                <w:color w:val="000000"/>
              </w:rPr>
              <w:t xml:space="preserve"> </w:t>
            </w:r>
            <w:proofErr w:type="spellStart"/>
            <w:r>
              <w:rPr>
                <w:rFonts w:ascii="Calibri" w:hAnsi="Calibri"/>
                <w:b/>
                <w:bCs/>
                <w:i/>
                <w:iCs/>
                <w:color w:val="000000"/>
              </w:rPr>
              <w:t>emiteteniti</w:t>
            </w:r>
            <w:proofErr w:type="spellEnd"/>
            <w:r>
              <w:rPr>
                <w:rFonts w:ascii="Calibri" w:hAnsi="Calibri"/>
                <w:b/>
                <w:bCs/>
                <w:i/>
                <w:iCs/>
                <w:color w:val="000000"/>
              </w:rPr>
              <w:t>:</w:t>
            </w:r>
          </w:p>
        </w:tc>
        <w:tc>
          <w:tcPr>
            <w:tcW w:w="2110" w:type="dxa"/>
            <w:tcBorders>
              <w:top w:val="nil"/>
              <w:left w:val="nil"/>
              <w:bottom w:val="nil"/>
              <w:right w:val="nil"/>
            </w:tcBorders>
            <w:shd w:val="clear" w:color="auto" w:fill="auto"/>
            <w:noWrap/>
            <w:vAlign w:val="bottom"/>
            <w:hideMark/>
          </w:tcPr>
          <w:p w:rsidR="00875733" w:rsidRDefault="00875733">
            <w:pPr>
              <w:rPr>
                <w:color w:val="000000"/>
              </w:rPr>
            </w:pP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p>
        </w:tc>
        <w:tc>
          <w:tcPr>
            <w:tcW w:w="2110" w:type="dxa"/>
            <w:tcBorders>
              <w:top w:val="nil"/>
              <w:left w:val="nil"/>
              <w:bottom w:val="nil"/>
              <w:right w:val="nil"/>
            </w:tcBorders>
            <w:shd w:val="clear" w:color="000000" w:fill="FFFFFF"/>
            <w:noWrap/>
            <w:vAlign w:val="bottom"/>
            <w:hideMark/>
          </w:tcPr>
          <w:p w:rsidR="00875733" w:rsidRDefault="00587F57">
            <w:pPr>
              <w:jc w:val="right"/>
              <w:rPr>
                <w:rFonts w:ascii="Calibri" w:hAnsi="Calibri"/>
                <w:color w:val="000000"/>
              </w:rPr>
            </w:pPr>
            <w:r>
              <w:rPr>
                <w:rFonts w:ascii="Calibri" w:hAnsi="Calibri"/>
                <w:color w:val="000000"/>
              </w:rPr>
              <w:t>-</w:t>
            </w:r>
          </w:p>
        </w:tc>
        <w:tc>
          <w:tcPr>
            <w:tcW w:w="1535" w:type="dxa"/>
            <w:tcBorders>
              <w:top w:val="nil"/>
              <w:left w:val="nil"/>
              <w:bottom w:val="nil"/>
              <w:right w:val="nil"/>
            </w:tcBorders>
            <w:shd w:val="clear" w:color="000000" w:fill="FFFFFF"/>
            <w:noWrap/>
            <w:vAlign w:val="bottom"/>
            <w:hideMark/>
          </w:tcPr>
          <w:p w:rsidR="00875733" w:rsidRDefault="00587F57">
            <w:pPr>
              <w:rPr>
                <w:rFonts w:ascii="Calibri" w:hAnsi="Calibri"/>
                <w:color w:val="000000"/>
              </w:rPr>
            </w:pPr>
            <w:r>
              <w:rPr>
                <w:rFonts w:ascii="Calibri" w:hAnsi="Calibri"/>
                <w:color w:val="000000"/>
              </w:rPr>
              <w:t xml:space="preserve">                           </w:t>
            </w:r>
            <w:r w:rsidR="00875733">
              <w:rPr>
                <w:rFonts w:ascii="Calibri" w:hAnsi="Calibri"/>
                <w:color w:val="000000"/>
              </w:rPr>
              <w:t xml:space="preserve">     </w:t>
            </w:r>
          </w:p>
        </w:tc>
        <w:tc>
          <w:tcPr>
            <w:tcW w:w="1657" w:type="dxa"/>
            <w:tcBorders>
              <w:top w:val="nil"/>
              <w:left w:val="nil"/>
              <w:bottom w:val="nil"/>
              <w:right w:val="nil"/>
            </w:tcBorders>
            <w:shd w:val="clear" w:color="auto" w:fill="auto"/>
            <w:noWrap/>
            <w:vAlign w:val="bottom"/>
            <w:hideMark/>
          </w:tcPr>
          <w:p w:rsidR="00875733" w:rsidRDefault="00587F57">
            <w:pPr>
              <w:rPr>
                <w:rFonts w:ascii="Calibri" w:hAnsi="Calibri"/>
                <w:color w:val="000000"/>
              </w:rPr>
            </w:pPr>
            <w:r>
              <w:rPr>
                <w:rFonts w:ascii="Calibri" w:hAnsi="Calibri"/>
                <w:color w:val="000000"/>
              </w:rPr>
              <w:t>-</w:t>
            </w: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jc w:val="right"/>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587F57">
            <w:pPr>
              <w:jc w:val="right"/>
              <w:rPr>
                <w:rFonts w:ascii="Calibri" w:hAnsi="Calibri"/>
                <w:color w:val="000000"/>
                <w:u w:val="single"/>
              </w:rPr>
            </w:pPr>
            <w:r>
              <w:rPr>
                <w:rFonts w:ascii="Calibri" w:hAnsi="Calibri"/>
                <w:color w:val="000000"/>
                <w:u w:val="single"/>
              </w:rPr>
              <w:t>-</w:t>
            </w:r>
          </w:p>
        </w:tc>
        <w:tc>
          <w:tcPr>
            <w:tcW w:w="1535" w:type="dxa"/>
            <w:tcBorders>
              <w:top w:val="nil"/>
              <w:left w:val="nil"/>
              <w:bottom w:val="nil"/>
              <w:right w:val="nil"/>
            </w:tcBorders>
            <w:shd w:val="clear" w:color="000000" w:fill="FFFFFF"/>
            <w:noWrap/>
            <w:vAlign w:val="bottom"/>
            <w:hideMark/>
          </w:tcPr>
          <w:p w:rsidR="00875733" w:rsidRDefault="00587F57" w:rsidP="00875733">
            <w:pPr>
              <w:jc w:val="both"/>
              <w:rPr>
                <w:rFonts w:ascii="Calibri" w:hAnsi="Calibri"/>
                <w:color w:val="000000"/>
              </w:rPr>
            </w:pPr>
            <w:r>
              <w:rPr>
                <w:rFonts w:ascii="Calibri" w:hAnsi="Calibri"/>
                <w:color w:val="000000"/>
              </w:rPr>
              <w:t xml:space="preserve">                           </w:t>
            </w:r>
            <w:r w:rsidR="00875733">
              <w:rPr>
                <w:rFonts w:ascii="Calibri" w:hAnsi="Calibri"/>
                <w:color w:val="000000"/>
              </w:rPr>
              <w:t xml:space="preserve">      </w:t>
            </w:r>
          </w:p>
        </w:tc>
        <w:tc>
          <w:tcPr>
            <w:tcW w:w="1657" w:type="dxa"/>
            <w:tcBorders>
              <w:top w:val="nil"/>
              <w:left w:val="nil"/>
              <w:bottom w:val="nil"/>
              <w:right w:val="nil"/>
            </w:tcBorders>
            <w:shd w:val="clear" w:color="000000" w:fill="FFFFFF"/>
            <w:noWrap/>
            <w:vAlign w:val="bottom"/>
            <w:hideMark/>
          </w:tcPr>
          <w:p w:rsidR="00587F57" w:rsidRDefault="00587F57" w:rsidP="00875733">
            <w:pPr>
              <w:jc w:val="both"/>
              <w:rPr>
                <w:rFonts w:ascii="Calibri" w:hAnsi="Calibri"/>
                <w:color w:val="000000"/>
                <w:u w:val="single"/>
              </w:rPr>
            </w:pPr>
            <w:r>
              <w:rPr>
                <w:rFonts w:ascii="Calibri" w:hAnsi="Calibri"/>
                <w:color w:val="000000"/>
                <w:u w:val="single"/>
              </w:rPr>
              <w:t>-</w:t>
            </w: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p>
          <w:p w:rsidR="00587F57" w:rsidRDefault="00587F57">
            <w:pPr>
              <w:rPr>
                <w:rFonts w:ascii="Calibri" w:hAnsi="Calibri"/>
                <w:b/>
                <w:bCs/>
                <w:i/>
                <w:iCs/>
                <w:color w:val="000000"/>
              </w:rPr>
            </w:pPr>
          </w:p>
        </w:tc>
        <w:tc>
          <w:tcPr>
            <w:tcW w:w="2110"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2018</w:t>
            </w:r>
          </w:p>
        </w:tc>
        <w:tc>
          <w:tcPr>
            <w:tcW w:w="1535"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2017</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i/>
                <w:iCs/>
                <w:color w:val="000000"/>
              </w:rPr>
            </w:pPr>
            <w:r>
              <w:rPr>
                <w:rFonts w:ascii="Calibri" w:hAnsi="Calibri"/>
                <w:b/>
                <w:bCs/>
                <w:i/>
                <w:iCs/>
                <w:color w:val="000000"/>
              </w:rPr>
              <w:t xml:space="preserve">u </w:t>
            </w:r>
            <w:proofErr w:type="spellStart"/>
            <w:r>
              <w:rPr>
                <w:rFonts w:ascii="Calibri" w:hAnsi="Calibri"/>
                <w:b/>
                <w:bCs/>
                <w:i/>
                <w:iCs/>
                <w:color w:val="000000"/>
              </w:rPr>
              <w:t>novcu</w:t>
            </w:r>
            <w:proofErr w:type="spellEnd"/>
            <w:r>
              <w:rPr>
                <w:rFonts w:ascii="Calibri" w:hAnsi="Calibri"/>
                <w:b/>
                <w:bCs/>
                <w:i/>
                <w:iCs/>
                <w:color w:val="000000"/>
              </w:rPr>
              <w:t xml:space="preserve">- </w:t>
            </w:r>
            <w:proofErr w:type="spellStart"/>
            <w:r>
              <w:rPr>
                <w:rFonts w:ascii="Calibri" w:hAnsi="Calibri"/>
                <w:b/>
                <w:bCs/>
                <w:i/>
                <w:iCs/>
                <w:color w:val="000000"/>
              </w:rPr>
              <w:t>strani</w:t>
            </w:r>
            <w:proofErr w:type="spellEnd"/>
            <w:r>
              <w:rPr>
                <w:rFonts w:ascii="Calibri" w:hAnsi="Calibri"/>
                <w:b/>
                <w:bCs/>
                <w:i/>
                <w:iCs/>
                <w:color w:val="000000"/>
              </w:rPr>
              <w:t xml:space="preserve"> </w:t>
            </w:r>
            <w:proofErr w:type="spellStart"/>
            <w:r>
              <w:rPr>
                <w:rFonts w:ascii="Calibri" w:hAnsi="Calibri"/>
                <w:b/>
                <w:bCs/>
                <w:i/>
                <w:iCs/>
                <w:color w:val="000000"/>
              </w:rPr>
              <w:t>emitetenti</w:t>
            </w:r>
            <w:proofErr w:type="spellEnd"/>
            <w:r>
              <w:rPr>
                <w:rFonts w:ascii="Calibri" w:hAnsi="Calibri"/>
                <w:b/>
                <w:bCs/>
                <w:i/>
                <w:iCs/>
                <w:color w:val="000000"/>
              </w:rPr>
              <w:t>:</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p>
        </w:tc>
        <w:tc>
          <w:tcPr>
            <w:tcW w:w="2110" w:type="dxa"/>
            <w:tcBorders>
              <w:top w:val="nil"/>
              <w:left w:val="nil"/>
              <w:bottom w:val="nil"/>
              <w:right w:val="nil"/>
            </w:tcBorders>
            <w:shd w:val="clear" w:color="000000" w:fill="FFFFFF"/>
            <w:noWrap/>
            <w:vAlign w:val="bottom"/>
            <w:hideMark/>
          </w:tcPr>
          <w:p w:rsidR="00875733" w:rsidRDefault="00587F57">
            <w:pPr>
              <w:jc w:val="right"/>
              <w:rPr>
                <w:rFonts w:ascii="Calibri" w:hAnsi="Calibri"/>
                <w:color w:val="000000"/>
              </w:rPr>
            </w:pPr>
            <w:r>
              <w:rPr>
                <w:rFonts w:ascii="Calibri" w:hAnsi="Calibri"/>
                <w:color w:val="000000"/>
              </w:rPr>
              <w:t>-</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587F57">
            <w:pPr>
              <w:jc w:val="right"/>
              <w:rPr>
                <w:rFonts w:ascii="Calibri" w:hAnsi="Calibri"/>
                <w:color w:val="000000"/>
                <w:u w:val="single"/>
              </w:rPr>
            </w:pPr>
            <w:r>
              <w:rPr>
                <w:rFonts w:ascii="Calibri" w:hAnsi="Calibri"/>
                <w:color w:val="000000"/>
                <w:u w:val="single"/>
              </w:rPr>
              <w:t>-</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000000" w:fill="FFFFFF"/>
            <w:noWrap/>
            <w:vAlign w:val="bottom"/>
            <w:hideMark/>
          </w:tcPr>
          <w:p w:rsidR="00875733" w:rsidRDefault="00587F57">
            <w:pPr>
              <w:rPr>
                <w:rFonts w:ascii="Calibri" w:hAnsi="Calibri"/>
                <w:color w:val="000000"/>
                <w:u w:val="single"/>
              </w:rPr>
            </w:pPr>
            <w:r>
              <w:rPr>
                <w:rFonts w:ascii="Calibri" w:hAnsi="Calibri"/>
                <w:color w:val="000000"/>
                <w:u w:val="single"/>
              </w:rPr>
              <w:t>-</w:t>
            </w: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587F57" w:rsidRDefault="00587F57">
            <w:pPr>
              <w:rPr>
                <w:rFonts w:ascii="Calibri" w:hAnsi="Calibri"/>
                <w:b/>
                <w:bCs/>
                <w:color w:val="000000"/>
              </w:rPr>
            </w:pPr>
          </w:p>
          <w:p w:rsidR="00587F57" w:rsidRDefault="00587F57">
            <w:pPr>
              <w:rPr>
                <w:rFonts w:ascii="Calibri" w:hAnsi="Calibri"/>
                <w:b/>
                <w:bCs/>
                <w:color w:val="000000"/>
              </w:rPr>
            </w:pPr>
          </w:p>
        </w:tc>
        <w:tc>
          <w:tcPr>
            <w:tcW w:w="2110"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2018</w:t>
            </w:r>
          </w:p>
        </w:tc>
        <w:tc>
          <w:tcPr>
            <w:tcW w:w="1535" w:type="dxa"/>
            <w:tcBorders>
              <w:top w:val="nil"/>
              <w:left w:val="nil"/>
              <w:bottom w:val="nil"/>
              <w:right w:val="nil"/>
            </w:tcBorders>
            <w:shd w:val="clear" w:color="000000" w:fill="FFFFFF"/>
            <w:noWrap/>
            <w:vAlign w:val="bottom"/>
            <w:hideMark/>
          </w:tcPr>
          <w:p w:rsidR="00875733" w:rsidRDefault="00875733">
            <w:pPr>
              <w:jc w:val="center"/>
              <w:rPr>
                <w:rFonts w:ascii="Calibri" w:hAnsi="Calibri"/>
                <w:b/>
                <w:bCs/>
                <w:color w:val="000000"/>
              </w:rPr>
            </w:pPr>
            <w:r>
              <w:rPr>
                <w:rFonts w:ascii="Calibri" w:hAnsi="Calibri"/>
                <w:b/>
                <w:bCs/>
                <w:color w:val="000000"/>
              </w:rPr>
              <w:t>2017</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r>
              <w:rPr>
                <w:rFonts w:ascii="Calibri" w:hAnsi="Calibri"/>
                <w:b/>
                <w:bCs/>
                <w:color w:val="000000"/>
              </w:rPr>
              <w:t xml:space="preserve">u </w:t>
            </w:r>
            <w:proofErr w:type="spellStart"/>
            <w:r>
              <w:rPr>
                <w:rFonts w:ascii="Calibri" w:hAnsi="Calibri"/>
                <w:b/>
                <w:bCs/>
                <w:color w:val="000000"/>
              </w:rPr>
              <w:t>akcijama</w:t>
            </w:r>
            <w:proofErr w:type="spellEnd"/>
            <w:r>
              <w:rPr>
                <w:rFonts w:ascii="Calibri" w:hAnsi="Calibri"/>
                <w:b/>
                <w:bCs/>
                <w:color w:val="000000"/>
              </w:rPr>
              <w:t>:</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xml:space="preserve">                           -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2110"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color w:val="000000"/>
              </w:rPr>
            </w:pPr>
            <w:r>
              <w:rPr>
                <w:rFonts w:ascii="Calibri" w:hAnsi="Calibri"/>
                <w:color w:val="000000"/>
              </w:rPr>
              <w:t> </w:t>
            </w: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r w:rsidR="00875733" w:rsidTr="00875733">
        <w:trPr>
          <w:trHeight w:val="310"/>
        </w:trPr>
        <w:tc>
          <w:tcPr>
            <w:tcW w:w="4122"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proofErr w:type="spellStart"/>
            <w:r>
              <w:rPr>
                <w:rFonts w:ascii="Calibri" w:hAnsi="Calibri"/>
                <w:b/>
                <w:bCs/>
                <w:color w:val="000000"/>
              </w:rPr>
              <w:t>Za</w:t>
            </w:r>
            <w:proofErr w:type="spellEnd"/>
            <w:r>
              <w:rPr>
                <w:rFonts w:ascii="Calibri" w:hAnsi="Calibri"/>
                <w:b/>
                <w:bCs/>
                <w:color w:val="000000"/>
              </w:rPr>
              <w:t xml:space="preserve"> </w:t>
            </w:r>
            <w:proofErr w:type="spellStart"/>
            <w:r>
              <w:rPr>
                <w:rFonts w:ascii="Calibri" w:hAnsi="Calibri"/>
                <w:b/>
                <w:bCs/>
                <w:color w:val="000000"/>
              </w:rPr>
              <w:t>godinu</w:t>
            </w:r>
            <w:proofErr w:type="spellEnd"/>
            <w:r>
              <w:rPr>
                <w:rFonts w:ascii="Calibri" w:hAnsi="Calibri"/>
                <w:b/>
                <w:bCs/>
                <w:color w:val="000000"/>
              </w:rPr>
              <w:t xml:space="preserve"> </w:t>
            </w:r>
            <w:proofErr w:type="spellStart"/>
            <w:r>
              <w:rPr>
                <w:rFonts w:ascii="Calibri" w:hAnsi="Calibri"/>
                <w:b/>
                <w:bCs/>
                <w:color w:val="000000"/>
              </w:rPr>
              <w:t>koja</w:t>
            </w:r>
            <w:proofErr w:type="spellEnd"/>
            <w:r>
              <w:rPr>
                <w:rFonts w:ascii="Calibri" w:hAnsi="Calibri"/>
                <w:b/>
                <w:bCs/>
                <w:color w:val="000000"/>
              </w:rPr>
              <w:t xml:space="preserve"> se </w:t>
            </w:r>
            <w:proofErr w:type="spellStart"/>
            <w:r>
              <w:rPr>
                <w:rFonts w:ascii="Calibri" w:hAnsi="Calibri"/>
                <w:b/>
                <w:bCs/>
                <w:color w:val="000000"/>
              </w:rPr>
              <w:t>završila</w:t>
            </w:r>
            <w:proofErr w:type="spellEnd"/>
            <w:r>
              <w:rPr>
                <w:rFonts w:ascii="Calibri" w:hAnsi="Calibri"/>
                <w:b/>
                <w:bCs/>
                <w:color w:val="000000"/>
              </w:rPr>
              <w:t xml:space="preserve"> 31.12.2018.</w:t>
            </w:r>
          </w:p>
        </w:tc>
        <w:tc>
          <w:tcPr>
            <w:tcW w:w="2110" w:type="dxa"/>
            <w:tcBorders>
              <w:top w:val="nil"/>
              <w:left w:val="nil"/>
              <w:bottom w:val="nil"/>
              <w:right w:val="nil"/>
            </w:tcBorders>
            <w:shd w:val="clear" w:color="000000" w:fill="FFFFFF"/>
            <w:noWrap/>
            <w:vAlign w:val="bottom"/>
            <w:hideMark/>
          </w:tcPr>
          <w:p w:rsidR="00875733" w:rsidRDefault="00587F57">
            <w:pPr>
              <w:jc w:val="right"/>
              <w:rPr>
                <w:rFonts w:ascii="Calibri" w:hAnsi="Calibri"/>
                <w:b/>
                <w:bCs/>
                <w:color w:val="000000"/>
                <w:u w:val="single"/>
              </w:rPr>
            </w:pPr>
            <w:r>
              <w:rPr>
                <w:rFonts w:ascii="Calibri" w:hAnsi="Calibri"/>
                <w:b/>
                <w:bCs/>
                <w:color w:val="000000"/>
                <w:u w:val="single"/>
              </w:rPr>
              <w:t>-</w:t>
            </w:r>
          </w:p>
        </w:tc>
        <w:tc>
          <w:tcPr>
            <w:tcW w:w="1535" w:type="dxa"/>
            <w:tcBorders>
              <w:top w:val="nil"/>
              <w:left w:val="nil"/>
              <w:bottom w:val="nil"/>
              <w:right w:val="nil"/>
            </w:tcBorders>
            <w:shd w:val="clear" w:color="000000" w:fill="FFFFFF"/>
            <w:noWrap/>
            <w:vAlign w:val="bottom"/>
            <w:hideMark/>
          </w:tcPr>
          <w:p w:rsidR="00875733" w:rsidRDefault="00875733">
            <w:pPr>
              <w:rPr>
                <w:rFonts w:ascii="Calibri" w:hAnsi="Calibri"/>
                <w:b/>
                <w:bCs/>
                <w:color w:val="000000"/>
              </w:rPr>
            </w:pPr>
            <w:r>
              <w:rPr>
                <w:rFonts w:ascii="Calibri" w:hAnsi="Calibri"/>
                <w:b/>
                <w:bCs/>
                <w:color w:val="000000"/>
              </w:rPr>
              <w:t xml:space="preserve">                           -      </w:t>
            </w:r>
          </w:p>
        </w:tc>
        <w:tc>
          <w:tcPr>
            <w:tcW w:w="1657" w:type="dxa"/>
            <w:tcBorders>
              <w:top w:val="nil"/>
              <w:left w:val="nil"/>
              <w:bottom w:val="nil"/>
              <w:right w:val="nil"/>
            </w:tcBorders>
            <w:shd w:val="clear" w:color="000000" w:fill="FFFFFF"/>
            <w:noWrap/>
            <w:vAlign w:val="bottom"/>
            <w:hideMark/>
          </w:tcPr>
          <w:p w:rsidR="00875733" w:rsidRDefault="00587F57">
            <w:pPr>
              <w:rPr>
                <w:rFonts w:ascii="Calibri" w:hAnsi="Calibri"/>
                <w:b/>
                <w:bCs/>
                <w:color w:val="000000"/>
                <w:u w:val="single"/>
              </w:rPr>
            </w:pPr>
            <w:r>
              <w:rPr>
                <w:rFonts w:ascii="Calibri" w:hAnsi="Calibri"/>
                <w:b/>
                <w:bCs/>
                <w:color w:val="000000"/>
                <w:u w:val="single"/>
              </w:rPr>
              <w:t>-</w:t>
            </w:r>
          </w:p>
        </w:tc>
      </w:tr>
      <w:tr w:rsidR="00875733" w:rsidTr="00875733">
        <w:trPr>
          <w:trHeight w:val="310"/>
        </w:trPr>
        <w:tc>
          <w:tcPr>
            <w:tcW w:w="4122" w:type="dxa"/>
            <w:tcBorders>
              <w:top w:val="nil"/>
              <w:left w:val="nil"/>
              <w:bottom w:val="nil"/>
              <w:right w:val="nil"/>
            </w:tcBorders>
            <w:shd w:val="clear" w:color="auto" w:fill="auto"/>
            <w:noWrap/>
            <w:vAlign w:val="bottom"/>
            <w:hideMark/>
          </w:tcPr>
          <w:p w:rsidR="00875733" w:rsidRDefault="00875733">
            <w:pPr>
              <w:rPr>
                <w:color w:val="000000"/>
              </w:rPr>
            </w:pPr>
          </w:p>
        </w:tc>
        <w:tc>
          <w:tcPr>
            <w:tcW w:w="2110" w:type="dxa"/>
            <w:tcBorders>
              <w:top w:val="nil"/>
              <w:left w:val="nil"/>
              <w:bottom w:val="nil"/>
              <w:right w:val="nil"/>
            </w:tcBorders>
            <w:shd w:val="clear" w:color="auto" w:fill="auto"/>
            <w:noWrap/>
            <w:vAlign w:val="bottom"/>
            <w:hideMark/>
          </w:tcPr>
          <w:p w:rsidR="00875733" w:rsidRDefault="00875733">
            <w:pPr>
              <w:rPr>
                <w:color w:val="000000"/>
              </w:rPr>
            </w:pPr>
          </w:p>
        </w:tc>
        <w:tc>
          <w:tcPr>
            <w:tcW w:w="1535" w:type="dxa"/>
            <w:tcBorders>
              <w:top w:val="nil"/>
              <w:left w:val="nil"/>
              <w:bottom w:val="nil"/>
              <w:right w:val="nil"/>
            </w:tcBorders>
            <w:shd w:val="clear" w:color="auto" w:fill="auto"/>
            <w:noWrap/>
            <w:vAlign w:val="bottom"/>
            <w:hideMark/>
          </w:tcPr>
          <w:p w:rsidR="00875733" w:rsidRDefault="00875733">
            <w:pPr>
              <w:rPr>
                <w:color w:val="000000"/>
              </w:rPr>
            </w:pPr>
          </w:p>
        </w:tc>
        <w:tc>
          <w:tcPr>
            <w:tcW w:w="1657" w:type="dxa"/>
            <w:tcBorders>
              <w:top w:val="nil"/>
              <w:left w:val="nil"/>
              <w:bottom w:val="nil"/>
              <w:right w:val="nil"/>
            </w:tcBorders>
            <w:shd w:val="clear" w:color="auto" w:fill="auto"/>
            <w:noWrap/>
            <w:vAlign w:val="bottom"/>
            <w:hideMark/>
          </w:tcPr>
          <w:p w:rsidR="00875733" w:rsidRDefault="00875733">
            <w:pPr>
              <w:rPr>
                <w:rFonts w:ascii="Calibri" w:hAnsi="Calibri"/>
                <w:color w:val="000000"/>
              </w:rPr>
            </w:pPr>
          </w:p>
        </w:tc>
      </w:tr>
    </w:tbl>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875733">
              <w:rPr>
                <w:rFonts w:ascii="Calibri" w:hAnsi="Calibri"/>
                <w:b/>
                <w:bCs/>
                <w:color w:val="000000"/>
                <w:lang w:val="sr-Latn-BA" w:eastAsia="sr-Latn-BA"/>
              </w:rPr>
              <w:t>8</w:t>
            </w:r>
          </w:p>
        </w:tc>
        <w:tc>
          <w:tcPr>
            <w:tcW w:w="1680" w:type="dxa"/>
            <w:tcBorders>
              <w:top w:val="nil"/>
              <w:left w:val="nil"/>
              <w:bottom w:val="nil"/>
              <w:right w:val="nil"/>
            </w:tcBorders>
            <w:shd w:val="clear" w:color="000000" w:fill="FFFFFF"/>
            <w:noWrap/>
            <w:vAlign w:val="bottom"/>
            <w:hideMark/>
          </w:tcPr>
          <w:p w:rsidR="00C50773" w:rsidRPr="00C50773" w:rsidRDefault="00875733" w:rsidP="00C50773">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r>
      <w:tr w:rsidR="00C94DCD" w:rsidRP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Cs/>
                <w:i/>
                <w:iCs/>
                <w:color w:val="000000"/>
                <w:lang w:val="sr-Latn-BA" w:eastAsia="sr-Latn-BA"/>
              </w:rPr>
            </w:pPr>
            <w:r w:rsidRPr="00C94DCD">
              <w:rPr>
                <w:rFonts w:ascii="Calibri" w:hAnsi="Calibri"/>
                <w:bCs/>
                <w:i/>
                <w:iCs/>
                <w:color w:val="000000"/>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Cs/>
                <w:color w:val="000000"/>
                <w:lang w:val="sr-Latn-BA" w:eastAsia="sr-Latn-BA"/>
              </w:rPr>
            </w:pPr>
            <w:r>
              <w:rPr>
                <w:rFonts w:ascii="Calibri" w:hAnsi="Calibri"/>
                <w:bCs/>
                <w:color w:val="000000"/>
                <w:lang w:val="sr-Latn-BA" w:eastAsia="sr-Latn-BA"/>
              </w:rPr>
              <w:t>-</w:t>
            </w:r>
          </w:p>
        </w:tc>
        <w:tc>
          <w:tcPr>
            <w:tcW w:w="168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Cs/>
                <w:color w:val="000000"/>
                <w:lang w:val="sr-Latn-BA" w:eastAsia="sr-Latn-BA"/>
              </w:rPr>
            </w:pPr>
            <w:r>
              <w:rPr>
                <w:rFonts w:ascii="Calibri" w:hAnsi="Calibri"/>
                <w:bCs/>
                <w:color w:val="000000"/>
                <w:lang w:val="sr-Latn-BA" w:eastAsia="sr-Latn-BA"/>
              </w:rPr>
              <w:t>-</w:t>
            </w:r>
          </w:p>
        </w:tc>
      </w:tr>
      <w:tr w:rsidR="00C94DCD" w:rsidRP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Cs/>
                <w:i/>
                <w:iCs/>
                <w:color w:val="000000"/>
                <w:lang w:val="sr-Latn-BA" w:eastAsia="sr-Latn-BA"/>
              </w:rPr>
            </w:pPr>
            <w:r w:rsidRPr="00C94DCD">
              <w:rPr>
                <w:rFonts w:ascii="Calibri" w:hAnsi="Calibri"/>
                <w:bCs/>
                <w:i/>
                <w:iCs/>
                <w:color w:val="000000"/>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Cs/>
                <w:color w:val="000000"/>
                <w:lang w:val="sr-Latn-BA" w:eastAsia="sr-Latn-BA"/>
              </w:rPr>
            </w:pPr>
            <w:r>
              <w:rPr>
                <w:rFonts w:ascii="Calibri" w:hAnsi="Calibri"/>
                <w:bCs/>
                <w:color w:val="000000"/>
                <w:lang w:val="sr-Latn-BA" w:eastAsia="sr-Latn-BA"/>
              </w:rPr>
              <w:t>1.611</w:t>
            </w:r>
          </w:p>
        </w:tc>
        <w:tc>
          <w:tcPr>
            <w:tcW w:w="168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Cs/>
                <w:color w:val="000000"/>
                <w:lang w:val="sr-Latn-BA" w:eastAsia="sr-Latn-BA"/>
              </w:rPr>
            </w:pPr>
            <w:r>
              <w:rPr>
                <w:rFonts w:ascii="Calibri" w:hAnsi="Calibri"/>
                <w:bCs/>
                <w:color w:val="000000"/>
                <w:lang w:val="sr-Latn-BA" w:eastAsia="sr-Latn-BA"/>
              </w:rPr>
              <w:t>-</w:t>
            </w:r>
          </w:p>
        </w:tc>
      </w:tr>
      <w:tr w:rsidR="00C94DCD" w:rsidRP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Cs/>
                <w:i/>
                <w:iCs/>
                <w:color w:val="000000"/>
                <w:lang w:val="sr-Latn-BA" w:eastAsia="sr-Latn-BA"/>
              </w:rPr>
            </w:pPr>
            <w:r w:rsidRPr="00C94DCD">
              <w:rPr>
                <w:rFonts w:ascii="Calibri" w:hAnsi="Calibri"/>
                <w:bCs/>
                <w:i/>
                <w:iCs/>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Cs/>
                <w:color w:val="000000"/>
                <w:lang w:val="sr-Latn-BA" w:eastAsia="sr-Latn-BA"/>
              </w:rPr>
            </w:pPr>
            <w:r>
              <w:rPr>
                <w:rFonts w:ascii="Calibri" w:hAnsi="Calibri"/>
                <w:bCs/>
                <w:color w:val="000000"/>
                <w:lang w:val="sr-Latn-BA" w:eastAsia="sr-Latn-BA"/>
              </w:rPr>
              <w:t>-</w:t>
            </w:r>
          </w:p>
        </w:tc>
        <w:tc>
          <w:tcPr>
            <w:tcW w:w="168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Cs/>
                <w:color w:val="000000"/>
                <w:lang w:val="sr-Latn-BA" w:eastAsia="sr-Latn-BA"/>
              </w:rPr>
            </w:pPr>
            <w:r>
              <w:rPr>
                <w:rFonts w:ascii="Calibri" w:hAnsi="Calibri"/>
                <w:bCs/>
                <w:color w:val="000000"/>
                <w:lang w:val="sr-Latn-BA" w:eastAsia="sr-Latn-BA"/>
              </w:rPr>
              <w:t>-</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r w:rsidRPr="00C94DCD">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r w:rsidRPr="00C94DCD">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r w:rsidRPr="00C94DCD">
              <w:rPr>
                <w:rFonts w:ascii="Calibri" w:hAnsi="Calibri"/>
                <w:b/>
                <w:bCs/>
                <w:color w:val="000000"/>
                <w:lang w:val="sr-Latn-BA" w:eastAsia="sr-Latn-BA"/>
              </w:rPr>
              <w:t> </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r w:rsidRPr="00C94DCD">
              <w:rPr>
                <w:rFonts w:ascii="Calibri" w:hAnsi="Calibri"/>
                <w:b/>
                <w:bCs/>
                <w:i/>
                <w:iCs/>
                <w:color w:val="000000"/>
                <w:lang w:val="sr-Latn-BA" w:eastAsia="sr-Latn-BA"/>
              </w:rPr>
              <w:t>Za godinu koja se završila 31.12.2018.</w:t>
            </w:r>
          </w:p>
        </w:tc>
        <w:tc>
          <w:tcPr>
            <w:tcW w:w="204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
                <w:bCs/>
                <w:color w:val="000000"/>
                <w:lang w:val="sr-Latn-BA" w:eastAsia="sr-Latn-BA"/>
              </w:rPr>
            </w:pPr>
            <w:r>
              <w:rPr>
                <w:rFonts w:ascii="Calibri" w:hAnsi="Calibri"/>
                <w:b/>
                <w:bCs/>
                <w:color w:val="000000"/>
                <w:lang w:val="sr-Latn-BA" w:eastAsia="sr-Latn-BA"/>
              </w:rPr>
              <w:t>1.611</w:t>
            </w:r>
          </w:p>
        </w:tc>
        <w:tc>
          <w:tcPr>
            <w:tcW w:w="1680" w:type="dxa"/>
            <w:tcBorders>
              <w:top w:val="nil"/>
              <w:left w:val="nil"/>
              <w:bottom w:val="nil"/>
              <w:right w:val="nil"/>
            </w:tcBorders>
            <w:shd w:val="clear" w:color="000000" w:fill="FFFFFF"/>
            <w:noWrap/>
            <w:vAlign w:val="bottom"/>
            <w:hideMark/>
          </w:tcPr>
          <w:p w:rsidR="00C94DCD" w:rsidRPr="00C94DCD" w:rsidRDefault="00587F57" w:rsidP="00C94DCD">
            <w:pPr>
              <w:jc w:val="center"/>
              <w:rPr>
                <w:rFonts w:ascii="Calibri" w:hAnsi="Calibri"/>
                <w:b/>
                <w:bCs/>
                <w:color w:val="000000"/>
                <w:lang w:val="sr-Latn-BA" w:eastAsia="sr-Latn-BA"/>
              </w:rPr>
            </w:pPr>
            <w:r>
              <w:rPr>
                <w:rFonts w:ascii="Calibri" w:hAnsi="Calibri"/>
                <w:b/>
                <w:bCs/>
                <w:color w:val="000000"/>
                <w:lang w:val="sr-Latn-BA" w:eastAsia="sr-Latn-BA"/>
              </w:rPr>
              <w:t>-</w:t>
            </w:r>
          </w:p>
        </w:tc>
      </w:tr>
      <w:tr w:rsidR="00C94DCD" w:rsidTr="00C94DCD">
        <w:trPr>
          <w:trHeight w:val="310"/>
        </w:trPr>
        <w:tc>
          <w:tcPr>
            <w:tcW w:w="4620" w:type="dxa"/>
            <w:tcBorders>
              <w:top w:val="nil"/>
              <w:left w:val="nil"/>
              <w:bottom w:val="nil"/>
              <w:right w:val="nil"/>
            </w:tcBorders>
            <w:shd w:val="clear" w:color="000000" w:fill="FFFFFF"/>
            <w:noWrap/>
            <w:vAlign w:val="bottom"/>
            <w:hideMark/>
          </w:tcPr>
          <w:p w:rsidR="00C94DCD" w:rsidRPr="00C94DCD" w:rsidRDefault="00C94DCD">
            <w:pPr>
              <w:rPr>
                <w:rFonts w:ascii="Calibri" w:hAnsi="Calibri"/>
                <w:b/>
                <w:bCs/>
                <w:i/>
                <w:iCs/>
                <w:color w:val="000000"/>
                <w:lang w:val="sr-Latn-BA" w:eastAsia="sr-Latn-BA"/>
              </w:rPr>
            </w:pPr>
          </w:p>
        </w:tc>
        <w:tc>
          <w:tcPr>
            <w:tcW w:w="204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c>
          <w:tcPr>
            <w:tcW w:w="1680" w:type="dxa"/>
            <w:tcBorders>
              <w:top w:val="nil"/>
              <w:left w:val="nil"/>
              <w:bottom w:val="nil"/>
              <w:right w:val="nil"/>
            </w:tcBorders>
            <w:shd w:val="clear" w:color="000000" w:fill="FFFFFF"/>
            <w:noWrap/>
            <w:vAlign w:val="bottom"/>
            <w:hideMark/>
          </w:tcPr>
          <w:p w:rsidR="00C94DCD" w:rsidRPr="00C94DCD" w:rsidRDefault="00C94DCD" w:rsidP="00C94DCD">
            <w:pPr>
              <w:jc w:val="center"/>
              <w:rPr>
                <w:rFonts w:ascii="Calibri" w:hAnsi="Calibri"/>
                <w:b/>
                <w:bCs/>
                <w:color w:val="000000"/>
                <w:lang w:val="sr-Latn-BA" w:eastAsia="sr-Latn-BA"/>
              </w:rPr>
            </w:pP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36B2B" w:rsidRDefault="00F36B2B" w:rsidP="00F36B2B"/>
    <w:p w:rsidR="00F014B7" w:rsidRPr="00A47E7E" w:rsidRDefault="00F014B7" w:rsidP="00044C85">
      <w:pPr>
        <w:tabs>
          <w:tab w:val="left" w:pos="-1440"/>
          <w:tab w:val="left" w:pos="-720"/>
          <w:tab w:val="left" w:pos="889"/>
          <w:tab w:val="left" w:pos="1231"/>
          <w:tab w:val="right" w:pos="8960"/>
        </w:tabs>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lastRenderedPageBreak/>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142F62" w:rsidP="00C50773">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1620" w:type="dxa"/>
            <w:tcBorders>
              <w:top w:val="nil"/>
              <w:left w:val="nil"/>
              <w:bottom w:val="nil"/>
              <w:right w:val="nil"/>
            </w:tcBorders>
            <w:shd w:val="clear" w:color="000000" w:fill="FFFFFF"/>
            <w:noWrap/>
            <w:vAlign w:val="bottom"/>
            <w:hideMark/>
          </w:tcPr>
          <w:p w:rsidR="00C50773" w:rsidRPr="00C50773" w:rsidRDefault="00142F62" w:rsidP="00C50773">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587F57">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587F57">
              <w:rPr>
                <w:rFonts w:ascii="Calibri" w:hAnsi="Calibri"/>
                <w:color w:val="000000"/>
                <w:lang w:val="sr-Latn-BA" w:eastAsia="sr-Latn-BA"/>
              </w:rPr>
              <w:t>-</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2337A1" w:rsidP="00587F57">
            <w:pPr>
              <w:jc w:val="right"/>
              <w:rPr>
                <w:rFonts w:ascii="Calibri" w:hAnsi="Calibri"/>
                <w:color w:val="000000"/>
                <w:lang w:val="sr-Latn-BA" w:eastAsia="sr-Latn-BA"/>
              </w:rPr>
            </w:pPr>
            <w:r>
              <w:rPr>
                <w:rFonts w:ascii="Calibri" w:hAnsi="Calibri"/>
                <w:color w:val="000000"/>
                <w:lang w:val="sr-Latn-BA" w:eastAsia="sr-Latn-BA"/>
              </w:rPr>
              <w:t xml:space="preserve">                       </w:t>
            </w:r>
            <w:r w:rsidR="00587F57">
              <w:rPr>
                <w:rFonts w:ascii="Calibri" w:hAnsi="Calibri"/>
                <w:color w:val="000000"/>
                <w:lang w:val="sr-Latn-BA" w:eastAsia="sr-Latn-BA"/>
              </w:rPr>
              <w:t>-</w:t>
            </w:r>
            <w:r w:rsidR="00C50773" w:rsidRPr="00C50773">
              <w:rPr>
                <w:rFonts w:ascii="Calibri" w:hAnsi="Calibri"/>
                <w:color w:val="000000"/>
                <w:lang w:val="sr-Latn-BA" w:eastAsia="sr-Latn-BA"/>
              </w:rPr>
              <w:t xml:space="preserve">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C50773" w:rsidRPr="00C50773" w:rsidRDefault="002337A1" w:rsidP="00587F57">
            <w:pPr>
              <w:jc w:val="right"/>
              <w:rPr>
                <w:rFonts w:ascii="Calibri" w:hAnsi="Calibri"/>
                <w:color w:val="000000"/>
                <w:lang w:val="sr-Latn-BA" w:eastAsia="sr-Latn-BA"/>
              </w:rPr>
            </w:pPr>
            <w:r>
              <w:rPr>
                <w:rFonts w:ascii="Calibri" w:hAnsi="Calibri"/>
                <w:color w:val="000000"/>
                <w:lang w:val="sr-Latn-BA" w:eastAsia="sr-Latn-BA"/>
              </w:rPr>
              <w:t xml:space="preserve">                            </w:t>
            </w:r>
            <w:r w:rsidR="00587F57">
              <w:rPr>
                <w:rFonts w:ascii="Calibri" w:hAnsi="Calibri"/>
                <w:color w:val="000000"/>
                <w:lang w:val="sr-Latn-BA" w:eastAsia="sr-Latn-BA"/>
              </w:rPr>
              <w:t>-</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587F57">
            <w:pPr>
              <w:jc w:val="right"/>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7C4288" w:rsidP="00587F57">
            <w:pPr>
              <w:jc w:val="right"/>
              <w:rPr>
                <w:rFonts w:ascii="Calibri" w:hAnsi="Calibri"/>
                <w:color w:val="000000"/>
                <w:lang w:val="sr-Latn-BA" w:eastAsia="sr-Latn-BA"/>
              </w:rPr>
            </w:pPr>
            <w:r>
              <w:rPr>
                <w:rFonts w:ascii="Calibri" w:hAnsi="Calibri"/>
                <w:color w:val="000000"/>
                <w:lang w:val="sr-Latn-BA" w:eastAsia="sr-Latn-BA"/>
              </w:rPr>
              <w:t xml:space="preserve">                            </w:t>
            </w:r>
            <w:r w:rsidR="00587F57">
              <w:rPr>
                <w:rFonts w:ascii="Calibri" w:hAnsi="Calibri"/>
                <w:color w:val="000000"/>
                <w:lang w:val="sr-Latn-BA" w:eastAsia="sr-Latn-BA"/>
              </w:rPr>
              <w:t>-</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587F57">
            <w:pPr>
              <w:jc w:val="right"/>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69063C">
            <w:pPr>
              <w:rPr>
                <w:rFonts w:ascii="Calibri" w:hAnsi="Calibri"/>
                <w:color w:val="000000"/>
                <w:lang w:val="sr-Latn-BA" w:eastAsia="sr-Latn-BA"/>
              </w:rPr>
            </w:pPr>
            <w:r w:rsidRPr="00C50773">
              <w:rPr>
                <w:rFonts w:ascii="Calibri" w:hAnsi="Calibri"/>
                <w:color w:val="000000"/>
                <w:lang w:val="sr-Latn-BA" w:eastAsia="sr-Latn-BA"/>
              </w:rPr>
              <w:t>Neto realizovani</w:t>
            </w:r>
            <w:r w:rsidR="0069063C">
              <w:rPr>
                <w:rFonts w:ascii="Calibri" w:hAnsi="Calibri"/>
                <w:color w:val="000000"/>
                <w:lang w:val="sr-Latn-BA" w:eastAsia="sr-Latn-BA"/>
              </w:rPr>
              <w:t xml:space="preserve"> gubici (dobici</w:t>
            </w:r>
            <w:r w:rsidRPr="00C50773">
              <w:rPr>
                <w:rFonts w:ascii="Calibri" w:hAnsi="Calibri"/>
                <w:color w:val="000000"/>
                <w:lang w:val="sr-Latn-BA" w:eastAsia="sr-Latn-BA"/>
              </w:rPr>
              <w:t>)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69063C" w:rsidP="00587F57">
            <w:pPr>
              <w:jc w:val="right"/>
              <w:rPr>
                <w:rFonts w:ascii="Calibri" w:hAnsi="Calibri"/>
                <w:color w:val="000000"/>
                <w:lang w:val="sr-Latn-BA" w:eastAsia="sr-Latn-BA"/>
              </w:rPr>
            </w:pPr>
            <w:r>
              <w:rPr>
                <w:rFonts w:ascii="Calibri" w:hAnsi="Calibri"/>
                <w:color w:val="000000"/>
                <w:lang w:val="sr-Latn-BA" w:eastAsia="sr-Latn-BA"/>
              </w:rPr>
              <w:t xml:space="preserve">                            </w:t>
            </w:r>
            <w:r w:rsidR="00587F57">
              <w:rPr>
                <w:rFonts w:ascii="Calibri" w:hAnsi="Calibri"/>
                <w:color w:val="000000"/>
                <w:lang w:val="sr-Latn-BA" w:eastAsia="sr-Latn-BA"/>
              </w:rPr>
              <w:t>-</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587F57">
            <w:pPr>
              <w:jc w:val="right"/>
              <w:rPr>
                <w:rFonts w:ascii="Calibri" w:hAnsi="Calibri"/>
                <w:color w:val="000000"/>
                <w:lang w:val="sr-Latn-BA" w:eastAsia="sr-Latn-BA"/>
              </w:rPr>
            </w:pPr>
            <w:r w:rsidRPr="00C50773">
              <w:rPr>
                <w:rFonts w:ascii="Calibri" w:hAnsi="Calibri"/>
                <w:color w:val="000000"/>
                <w:lang w:val="sr-Latn-BA" w:eastAsia="sr-Latn-BA"/>
              </w:rPr>
              <w:t xml:space="preserve">                       -      </w:t>
            </w:r>
          </w:p>
        </w:tc>
      </w:tr>
      <w:tr w:rsidR="007C4288" w:rsidRPr="00C50773" w:rsidTr="00F36B2B">
        <w:trPr>
          <w:trHeight w:val="310"/>
        </w:trPr>
        <w:tc>
          <w:tcPr>
            <w:tcW w:w="5820" w:type="dxa"/>
            <w:tcBorders>
              <w:top w:val="nil"/>
              <w:left w:val="nil"/>
              <w:bottom w:val="nil"/>
              <w:right w:val="nil"/>
            </w:tcBorders>
            <w:shd w:val="clear" w:color="000000" w:fill="FFFFFF"/>
            <w:noWrap/>
            <w:vAlign w:val="bottom"/>
            <w:hideMark/>
          </w:tcPr>
          <w:p w:rsidR="007C4288" w:rsidRPr="00C50773" w:rsidRDefault="007C4288" w:rsidP="00F36B2B">
            <w:pPr>
              <w:rPr>
                <w:rFonts w:ascii="Calibri" w:hAnsi="Calibri"/>
                <w:color w:val="000000"/>
                <w:lang w:val="sr-Latn-BA" w:eastAsia="sr-Latn-BA"/>
              </w:rPr>
            </w:pPr>
            <w:r>
              <w:rPr>
                <w:rFonts w:ascii="Calibri" w:hAnsi="Calibri"/>
                <w:color w:val="000000"/>
                <w:lang w:val="sr-Latn-BA" w:eastAsia="sr-Latn-BA"/>
              </w:rPr>
              <w:t xml:space="preserve">Ostali realizovani gubici </w:t>
            </w:r>
          </w:p>
        </w:tc>
        <w:tc>
          <w:tcPr>
            <w:tcW w:w="1880" w:type="dxa"/>
            <w:tcBorders>
              <w:top w:val="nil"/>
              <w:left w:val="nil"/>
              <w:bottom w:val="nil"/>
              <w:right w:val="nil"/>
            </w:tcBorders>
            <w:shd w:val="clear" w:color="000000" w:fill="FFFFFF"/>
            <w:noWrap/>
            <w:vAlign w:val="bottom"/>
            <w:hideMark/>
          </w:tcPr>
          <w:p w:rsidR="007C4288" w:rsidRPr="00C50773" w:rsidRDefault="007C4288" w:rsidP="00587F57">
            <w:pPr>
              <w:jc w:val="right"/>
              <w:rPr>
                <w:rFonts w:ascii="Calibri" w:hAnsi="Calibri"/>
                <w:color w:val="000000"/>
                <w:lang w:val="sr-Latn-BA" w:eastAsia="sr-Latn-BA"/>
              </w:rPr>
            </w:pPr>
            <w:r>
              <w:rPr>
                <w:rFonts w:ascii="Calibri" w:hAnsi="Calibri"/>
                <w:color w:val="000000"/>
                <w:lang w:val="sr-Latn-BA" w:eastAsia="sr-Latn-BA"/>
              </w:rPr>
              <w:t xml:space="preserve">                            </w:t>
            </w:r>
            <w:r w:rsidR="00587F57">
              <w:rPr>
                <w:rFonts w:ascii="Calibri" w:hAnsi="Calibri"/>
                <w:color w:val="000000"/>
                <w:lang w:val="sr-Latn-BA" w:eastAsia="sr-Latn-BA"/>
              </w:rPr>
              <w:t>-</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7C4288" w:rsidRPr="00C50773" w:rsidRDefault="007C4288" w:rsidP="00587F57">
            <w:pPr>
              <w:jc w:val="right"/>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C50773" w:rsidRPr="00C50773" w:rsidRDefault="00C50773" w:rsidP="00587F57">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587F57">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2337A1">
              <w:rPr>
                <w:rFonts w:ascii="Calibri" w:hAnsi="Calibri"/>
                <w:b/>
                <w:bCs/>
                <w:lang w:val="sr-Latn-BA" w:eastAsia="sr-Latn-BA"/>
              </w:rPr>
              <w:t>dinu koja se završila 31.12.2018</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C50773" w:rsidRPr="007C4288" w:rsidRDefault="00587F57" w:rsidP="00587F57">
            <w:pPr>
              <w:jc w:val="right"/>
              <w:rPr>
                <w:rFonts w:ascii="Calibri" w:hAnsi="Calibri"/>
                <w:b/>
                <w:color w:val="000000"/>
                <w:u w:val="single"/>
                <w:lang w:val="sr-Latn-BA" w:eastAsia="sr-Latn-BA"/>
              </w:rPr>
            </w:pPr>
            <w:r>
              <w:rPr>
                <w:rFonts w:ascii="Calibri" w:hAnsi="Calibri"/>
                <w:b/>
                <w:color w:val="000000"/>
                <w:u w:val="single"/>
                <w:lang w:val="sr-Latn-BA" w:eastAsia="sr-Latn-BA"/>
              </w:rPr>
              <w:t>-</w:t>
            </w:r>
            <w:r w:rsidR="00C50773" w:rsidRPr="007C4288">
              <w:rPr>
                <w:rFonts w:ascii="Calibri" w:hAnsi="Calibri"/>
                <w:b/>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7C4288" w:rsidRDefault="00587F57" w:rsidP="00587F57">
            <w:pPr>
              <w:jc w:val="right"/>
              <w:rPr>
                <w:rFonts w:ascii="Calibri" w:hAnsi="Calibri"/>
                <w:b/>
                <w:color w:val="000000"/>
                <w:u w:val="single"/>
                <w:lang w:val="sr-Latn-BA" w:eastAsia="sr-Latn-BA"/>
              </w:rPr>
            </w:pPr>
            <w:r>
              <w:rPr>
                <w:rFonts w:ascii="Calibri" w:hAnsi="Calibri"/>
                <w:b/>
                <w:color w:val="000000"/>
                <w:u w:val="single"/>
                <w:lang w:val="sr-Latn-BA" w:eastAsia="sr-Latn-BA"/>
              </w:rPr>
              <w:t>-</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Rashodi po osnovu provizija za upr</w:t>
      </w:r>
      <w:r w:rsidR="00142F62">
        <w:rPr>
          <w:rFonts w:ascii="Calibri" w:hAnsi="Calibri" w:cs="Calibri"/>
          <w:noProof/>
        </w:rPr>
        <w:t>avljanje Fondom za poslovnu 2018</w:t>
      </w:r>
      <w:r w:rsidRPr="00A47E7E">
        <w:rPr>
          <w:rFonts w:ascii="Calibri" w:hAnsi="Calibri" w:cs="Calibri"/>
          <w:noProof/>
        </w:rPr>
        <w:t xml:space="preserve">. godinu u iznosu od </w:t>
      </w:r>
      <w:r w:rsidR="00584D5D">
        <w:rPr>
          <w:rFonts w:ascii="Calibri" w:hAnsi="Calibri" w:cs="Calibri"/>
          <w:noProof/>
        </w:rPr>
        <w:t>11.582,58</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00587F57">
        <w:rPr>
          <w:rFonts w:ascii="Calibri" w:hAnsi="Calibri" w:cs="Calibri"/>
          <w:noProof/>
        </w:rPr>
        <w:t>,</w:t>
      </w:r>
      <w:r w:rsidRPr="00A47E7E">
        <w:rPr>
          <w:rFonts w:ascii="Calibri" w:hAnsi="Calibri" w:cs="Calibri"/>
          <w:noProof/>
        </w:rPr>
        <w:t xml:space="preserve"> a tačnost potvrđuje Nova Banka ad Banja Luka kao depozitar Fonda.</w:t>
      </w:r>
    </w:p>
    <w:p w:rsidR="00587F57" w:rsidRDefault="00587F57" w:rsidP="000924CB">
      <w:pPr>
        <w:tabs>
          <w:tab w:val="left" w:pos="-1440"/>
          <w:tab w:val="left" w:pos="-720"/>
          <w:tab w:val="left" w:pos="889"/>
          <w:tab w:val="left" w:pos="1231"/>
          <w:tab w:val="right" w:pos="8960"/>
        </w:tabs>
        <w:jc w:val="both"/>
        <w:rPr>
          <w:rFonts w:ascii="Calibri" w:hAnsi="Calibri" w:cs="Calibri"/>
          <w:noProof/>
        </w:rPr>
      </w:pPr>
    </w:p>
    <w:p w:rsidR="00587F57" w:rsidRDefault="00587F57" w:rsidP="000924CB">
      <w:pPr>
        <w:tabs>
          <w:tab w:val="left" w:pos="-1440"/>
          <w:tab w:val="left" w:pos="-720"/>
          <w:tab w:val="left" w:pos="889"/>
          <w:tab w:val="left" w:pos="1231"/>
          <w:tab w:val="right" w:pos="8960"/>
        </w:tabs>
        <w:jc w:val="both"/>
        <w:rPr>
          <w:rFonts w:ascii="Calibri" w:hAnsi="Calibri" w:cs="Calibri"/>
          <w:noProof/>
        </w:rPr>
      </w:pPr>
    </w:p>
    <w:p w:rsidR="00587F57" w:rsidRPr="00A47E7E" w:rsidRDefault="00587F57" w:rsidP="00587F57">
      <w:pPr>
        <w:pStyle w:val="Heading1"/>
        <w:rPr>
          <w:rFonts w:ascii="Calibri" w:hAnsi="Calibri" w:cs="Calibri"/>
          <w:noProof/>
          <w:sz w:val="24"/>
          <w:szCs w:val="24"/>
        </w:rPr>
      </w:pPr>
      <w:r w:rsidRPr="00A47E7E">
        <w:rPr>
          <w:rFonts w:ascii="Calibri" w:hAnsi="Calibri" w:cs="Calibri"/>
          <w:noProof/>
          <w:sz w:val="24"/>
          <w:szCs w:val="24"/>
        </w:rPr>
        <w:t xml:space="preserve">NAKNADA </w:t>
      </w:r>
      <w:r>
        <w:rPr>
          <w:rFonts w:ascii="Calibri" w:hAnsi="Calibri" w:cs="Calibri"/>
          <w:noProof/>
          <w:sz w:val="24"/>
          <w:szCs w:val="24"/>
        </w:rPr>
        <w:t xml:space="preserve">DEPOZITARU </w:t>
      </w:r>
    </w:p>
    <w:tbl>
      <w:tblPr>
        <w:tblW w:w="8068" w:type="dxa"/>
        <w:tblInd w:w="99" w:type="dxa"/>
        <w:tblLook w:val="04A0"/>
      </w:tblPr>
      <w:tblGrid>
        <w:gridCol w:w="5120"/>
        <w:gridCol w:w="1760"/>
        <w:gridCol w:w="1188"/>
      </w:tblGrid>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Pr>
                <w:rFonts w:ascii="Calibri" w:hAnsi="Calibri"/>
                <w:b/>
                <w:bCs/>
                <w:color w:val="000000"/>
                <w:lang w:val="sr-Latn-BA" w:eastAsia="sr-Latn-BA"/>
              </w:rPr>
              <w:t>8</w:t>
            </w:r>
          </w:p>
        </w:tc>
        <w:tc>
          <w:tcPr>
            <w:tcW w:w="1188"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Pr>
                <w:rFonts w:ascii="Calibri" w:hAnsi="Calibri"/>
                <w:b/>
                <w:bCs/>
                <w:color w:val="000000"/>
                <w:lang w:val="sr-Latn-BA" w:eastAsia="sr-Latn-BA"/>
              </w:rPr>
              <w:t>7</w:t>
            </w:r>
          </w:p>
        </w:tc>
      </w:tr>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lang w:val="sr-Latn-BA" w:eastAsia="sr-Latn-BA"/>
              </w:rPr>
            </w:pPr>
            <w:r>
              <w:rPr>
                <w:rFonts w:ascii="Calibri" w:hAnsi="Calibri"/>
                <w:lang w:val="sr-Latn-BA" w:eastAsia="sr-Latn-BA"/>
              </w:rPr>
              <w:t xml:space="preserve">Naknada depozitaru </w:t>
            </w:r>
          </w:p>
        </w:tc>
        <w:tc>
          <w:tcPr>
            <w:tcW w:w="1760" w:type="dxa"/>
            <w:tcBorders>
              <w:top w:val="nil"/>
              <w:left w:val="nil"/>
              <w:bottom w:val="nil"/>
              <w:right w:val="nil"/>
            </w:tcBorders>
            <w:shd w:val="clear" w:color="000000" w:fill="FFFFFF"/>
            <w:noWrap/>
            <w:vAlign w:val="bottom"/>
            <w:hideMark/>
          </w:tcPr>
          <w:p w:rsidR="001A7845" w:rsidRPr="00620BD3" w:rsidRDefault="001A7845" w:rsidP="001A7845">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118</w:t>
            </w:r>
            <w:r w:rsidRPr="00620BD3">
              <w:rPr>
                <w:rFonts w:ascii="Calibri" w:hAnsi="Calibri"/>
                <w:color w:val="000000"/>
                <w:lang w:val="sr-Latn-BA" w:eastAsia="sr-Latn-BA"/>
              </w:rPr>
              <w:t xml:space="preserve"> </w:t>
            </w:r>
          </w:p>
        </w:tc>
        <w:tc>
          <w:tcPr>
            <w:tcW w:w="1188" w:type="dxa"/>
            <w:tcBorders>
              <w:top w:val="nil"/>
              <w:left w:val="nil"/>
              <w:bottom w:val="nil"/>
              <w:right w:val="nil"/>
            </w:tcBorders>
            <w:shd w:val="clear" w:color="000000" w:fill="FFFFFF"/>
            <w:vAlign w:val="center"/>
            <w:hideMark/>
          </w:tcPr>
          <w:p w:rsidR="001A7845" w:rsidRPr="00620BD3" w:rsidRDefault="001A7845" w:rsidP="00E349B4">
            <w:pPr>
              <w:jc w:val="right"/>
              <w:rPr>
                <w:rFonts w:ascii="Calibri" w:hAnsi="Calibri"/>
                <w:color w:val="000000"/>
                <w:lang w:val="sr-Latn-BA" w:eastAsia="sr-Latn-BA"/>
              </w:rPr>
            </w:pPr>
            <w:r>
              <w:rPr>
                <w:rFonts w:ascii="Calibri" w:hAnsi="Calibri"/>
                <w:color w:val="000000"/>
                <w:lang w:val="sr-Latn-BA" w:eastAsia="sr-Latn-BA"/>
              </w:rPr>
              <w:t>-</w:t>
            </w:r>
          </w:p>
        </w:tc>
      </w:tr>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1A7845" w:rsidRPr="00620BD3" w:rsidRDefault="001A7845" w:rsidP="00E349B4">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1A7845" w:rsidRPr="00620BD3" w:rsidRDefault="001A7845" w:rsidP="00E349B4">
            <w:pPr>
              <w:jc w:val="right"/>
              <w:rPr>
                <w:rFonts w:ascii="Calibri" w:hAnsi="Calibri"/>
                <w:color w:val="000000"/>
                <w:lang w:val="sr-Latn-BA" w:eastAsia="sr-Latn-BA"/>
              </w:rPr>
            </w:pPr>
            <w:r w:rsidRPr="00620BD3">
              <w:rPr>
                <w:rFonts w:ascii="Calibri" w:hAnsi="Calibri"/>
                <w:color w:val="000000"/>
                <w:lang w:val="sr-Latn-BA" w:eastAsia="sr-Latn-BA"/>
              </w:rPr>
              <w:t> </w:t>
            </w:r>
          </w:p>
        </w:tc>
      </w:tr>
      <w:tr w:rsidR="001A7845" w:rsidRPr="00620BD3" w:rsidTr="00E349B4">
        <w:trPr>
          <w:trHeight w:val="37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b/>
                <w:bCs/>
                <w:lang w:val="sr-Latn-BA" w:eastAsia="sr-Latn-BA"/>
              </w:rPr>
            </w:pPr>
            <w:r w:rsidRPr="00620BD3">
              <w:rPr>
                <w:rFonts w:ascii="Calibri" w:hAnsi="Calibri"/>
                <w:b/>
                <w:bCs/>
                <w:lang w:val="sr-Latn-BA" w:eastAsia="sr-Latn-BA"/>
              </w:rPr>
              <w:t>Za go</w:t>
            </w:r>
            <w:r>
              <w:rPr>
                <w:rFonts w:ascii="Calibri" w:hAnsi="Calibri"/>
                <w:b/>
                <w:bCs/>
                <w:lang w:val="sr-Latn-BA" w:eastAsia="sr-Latn-BA"/>
              </w:rPr>
              <w:t>dinu koja se završila 31.12.2018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1A7845" w:rsidRPr="00F36B2B" w:rsidRDefault="001A7845" w:rsidP="001A7845">
            <w:pPr>
              <w:jc w:val="right"/>
              <w:rPr>
                <w:rFonts w:ascii="Calibri" w:hAnsi="Calibri"/>
                <w:b/>
                <w:color w:val="000000"/>
                <w:u w:val="single"/>
                <w:lang w:val="sr-Latn-BA" w:eastAsia="sr-Latn-BA"/>
              </w:rPr>
            </w:pPr>
            <w:r w:rsidRPr="00620BD3">
              <w:rPr>
                <w:rFonts w:ascii="Calibri" w:hAnsi="Calibri"/>
                <w:color w:val="000000"/>
                <w:u w:val="single"/>
                <w:lang w:val="sr-Latn-BA" w:eastAsia="sr-Latn-BA"/>
              </w:rPr>
              <w:t xml:space="preserve">          </w:t>
            </w:r>
            <w:r>
              <w:rPr>
                <w:rFonts w:ascii="Calibri" w:hAnsi="Calibri"/>
                <w:b/>
                <w:color w:val="000000"/>
                <w:u w:val="single"/>
                <w:lang w:val="sr-Latn-BA" w:eastAsia="sr-Latn-BA"/>
              </w:rPr>
              <w:t>118</w:t>
            </w:r>
            <w:r w:rsidRPr="00F36B2B">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1A7845" w:rsidRPr="00620BD3" w:rsidRDefault="001A7845" w:rsidP="00E349B4">
            <w:pPr>
              <w:jc w:val="right"/>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587F57" w:rsidRPr="00A47E7E" w:rsidRDefault="00587F57" w:rsidP="000924CB">
      <w:pPr>
        <w:tabs>
          <w:tab w:val="left" w:pos="-1440"/>
          <w:tab w:val="left" w:pos="-720"/>
          <w:tab w:val="left" w:pos="889"/>
          <w:tab w:val="left" w:pos="1231"/>
          <w:tab w:val="right" w:pos="8960"/>
        </w:tabs>
        <w:jc w:val="both"/>
        <w:rPr>
          <w:rFonts w:ascii="Calibri" w:hAnsi="Calibri" w:cs="Calibri"/>
          <w:noProof/>
        </w:rPr>
      </w:pPr>
    </w:p>
    <w:p w:rsidR="00952D10" w:rsidRDefault="00952D10" w:rsidP="00952D10">
      <w:pPr>
        <w:tabs>
          <w:tab w:val="left" w:pos="-1440"/>
          <w:tab w:val="left" w:pos="-720"/>
          <w:tab w:val="left" w:pos="889"/>
          <w:tab w:val="left" w:pos="1231"/>
          <w:tab w:val="right" w:pos="8960"/>
        </w:tabs>
        <w:rPr>
          <w:rFonts w:ascii="Calibri" w:hAnsi="Calibri" w:cs="Calibri"/>
          <w:noProof/>
        </w:rPr>
      </w:pPr>
    </w:p>
    <w:p w:rsidR="001A7845" w:rsidRPr="00A47E7E" w:rsidRDefault="001A7845" w:rsidP="001A7845">
      <w:pPr>
        <w:pStyle w:val="Heading1"/>
        <w:rPr>
          <w:rFonts w:ascii="Calibri" w:hAnsi="Calibri" w:cs="Calibri"/>
          <w:noProof/>
          <w:sz w:val="24"/>
          <w:szCs w:val="24"/>
        </w:rPr>
      </w:pPr>
      <w:r>
        <w:rPr>
          <w:rFonts w:ascii="Calibri" w:hAnsi="Calibri" w:cs="Calibri"/>
          <w:noProof/>
          <w:sz w:val="24"/>
          <w:szCs w:val="24"/>
        </w:rPr>
        <w:t xml:space="preserve">RASHODI PO OSNOVU POREZA </w:t>
      </w:r>
    </w:p>
    <w:tbl>
      <w:tblPr>
        <w:tblW w:w="8068" w:type="dxa"/>
        <w:tblInd w:w="99" w:type="dxa"/>
        <w:tblLook w:val="04A0"/>
      </w:tblPr>
      <w:tblGrid>
        <w:gridCol w:w="5120"/>
        <w:gridCol w:w="1760"/>
        <w:gridCol w:w="1188"/>
      </w:tblGrid>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Pr>
                <w:rFonts w:ascii="Calibri" w:hAnsi="Calibri"/>
                <w:b/>
                <w:bCs/>
                <w:color w:val="000000"/>
                <w:lang w:val="sr-Latn-BA" w:eastAsia="sr-Latn-BA"/>
              </w:rPr>
              <w:t>8</w:t>
            </w:r>
          </w:p>
        </w:tc>
        <w:tc>
          <w:tcPr>
            <w:tcW w:w="1188"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Pr>
                <w:rFonts w:ascii="Calibri" w:hAnsi="Calibri"/>
                <w:b/>
                <w:bCs/>
                <w:color w:val="000000"/>
                <w:lang w:val="sr-Latn-BA" w:eastAsia="sr-Latn-BA"/>
              </w:rPr>
              <w:t>7</w:t>
            </w:r>
          </w:p>
        </w:tc>
      </w:tr>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1A7845" w:rsidRPr="00620BD3" w:rsidRDefault="001A7845" w:rsidP="00E349B4">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9B02A7" w:rsidP="00E349B4">
            <w:pPr>
              <w:rPr>
                <w:rFonts w:ascii="Calibri" w:hAnsi="Calibri"/>
                <w:lang w:val="sr-Latn-BA" w:eastAsia="sr-Latn-BA"/>
              </w:rPr>
            </w:pPr>
            <w:r>
              <w:rPr>
                <w:rFonts w:ascii="Calibri" w:hAnsi="Calibri"/>
                <w:lang w:val="sr-Latn-BA" w:eastAsia="sr-Latn-BA"/>
              </w:rPr>
              <w:t xml:space="preserve">Rashodi za poreze </w:t>
            </w:r>
            <w:r w:rsidR="001A7845">
              <w:rPr>
                <w:rFonts w:ascii="Calibri" w:hAnsi="Calibri"/>
                <w:lang w:val="sr-Latn-BA" w:eastAsia="sr-Latn-BA"/>
              </w:rPr>
              <w:t xml:space="preserve"> </w:t>
            </w:r>
          </w:p>
        </w:tc>
        <w:tc>
          <w:tcPr>
            <w:tcW w:w="1760" w:type="dxa"/>
            <w:tcBorders>
              <w:top w:val="nil"/>
              <w:left w:val="nil"/>
              <w:bottom w:val="nil"/>
              <w:right w:val="nil"/>
            </w:tcBorders>
            <w:shd w:val="clear" w:color="000000" w:fill="FFFFFF"/>
            <w:noWrap/>
            <w:vAlign w:val="bottom"/>
            <w:hideMark/>
          </w:tcPr>
          <w:p w:rsidR="001A7845" w:rsidRPr="00620BD3" w:rsidRDefault="001A7845" w:rsidP="001A7845">
            <w:pPr>
              <w:jc w:val="right"/>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14.939,97</w:t>
            </w:r>
            <w:r w:rsidRPr="00620BD3">
              <w:rPr>
                <w:rFonts w:ascii="Calibri" w:hAnsi="Calibri"/>
                <w:color w:val="000000"/>
                <w:lang w:val="sr-Latn-BA" w:eastAsia="sr-Latn-BA"/>
              </w:rPr>
              <w:t xml:space="preserve"> </w:t>
            </w:r>
          </w:p>
        </w:tc>
        <w:tc>
          <w:tcPr>
            <w:tcW w:w="1188" w:type="dxa"/>
            <w:tcBorders>
              <w:top w:val="nil"/>
              <w:left w:val="nil"/>
              <w:bottom w:val="nil"/>
              <w:right w:val="nil"/>
            </w:tcBorders>
            <w:shd w:val="clear" w:color="000000" w:fill="FFFFFF"/>
            <w:vAlign w:val="center"/>
            <w:hideMark/>
          </w:tcPr>
          <w:p w:rsidR="001A7845" w:rsidRPr="00620BD3" w:rsidRDefault="001A7845" w:rsidP="00E349B4">
            <w:pPr>
              <w:jc w:val="right"/>
              <w:rPr>
                <w:rFonts w:ascii="Calibri" w:hAnsi="Calibri"/>
                <w:color w:val="000000"/>
                <w:lang w:val="sr-Latn-BA" w:eastAsia="sr-Latn-BA"/>
              </w:rPr>
            </w:pPr>
            <w:r>
              <w:rPr>
                <w:rFonts w:ascii="Calibri" w:hAnsi="Calibri"/>
                <w:color w:val="000000"/>
                <w:lang w:val="sr-Latn-BA" w:eastAsia="sr-Latn-BA"/>
              </w:rPr>
              <w:t>-</w:t>
            </w:r>
          </w:p>
        </w:tc>
      </w:tr>
      <w:tr w:rsidR="001A7845" w:rsidRPr="00620BD3" w:rsidTr="00E349B4">
        <w:trPr>
          <w:trHeight w:val="31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1A7845" w:rsidRPr="00620BD3" w:rsidRDefault="001A7845" w:rsidP="00E349B4">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1A7845" w:rsidRPr="00620BD3" w:rsidRDefault="001A7845" w:rsidP="00E349B4">
            <w:pPr>
              <w:jc w:val="right"/>
              <w:rPr>
                <w:rFonts w:ascii="Calibri" w:hAnsi="Calibri"/>
                <w:color w:val="000000"/>
                <w:lang w:val="sr-Latn-BA" w:eastAsia="sr-Latn-BA"/>
              </w:rPr>
            </w:pPr>
            <w:r w:rsidRPr="00620BD3">
              <w:rPr>
                <w:rFonts w:ascii="Calibri" w:hAnsi="Calibri"/>
                <w:color w:val="000000"/>
                <w:lang w:val="sr-Latn-BA" w:eastAsia="sr-Latn-BA"/>
              </w:rPr>
              <w:t> </w:t>
            </w:r>
          </w:p>
        </w:tc>
      </w:tr>
      <w:tr w:rsidR="001A7845" w:rsidRPr="00620BD3" w:rsidTr="00E349B4">
        <w:trPr>
          <w:trHeight w:val="370"/>
        </w:trPr>
        <w:tc>
          <w:tcPr>
            <w:tcW w:w="5120" w:type="dxa"/>
            <w:tcBorders>
              <w:top w:val="nil"/>
              <w:left w:val="nil"/>
              <w:bottom w:val="nil"/>
              <w:right w:val="nil"/>
            </w:tcBorders>
            <w:shd w:val="clear" w:color="000000" w:fill="FFFFFF"/>
            <w:noWrap/>
            <w:vAlign w:val="bottom"/>
            <w:hideMark/>
          </w:tcPr>
          <w:p w:rsidR="001A7845" w:rsidRPr="00620BD3" w:rsidRDefault="001A7845" w:rsidP="00E349B4">
            <w:pPr>
              <w:rPr>
                <w:rFonts w:ascii="Calibri" w:hAnsi="Calibri"/>
                <w:b/>
                <w:bCs/>
                <w:lang w:val="sr-Latn-BA" w:eastAsia="sr-Latn-BA"/>
              </w:rPr>
            </w:pPr>
            <w:r w:rsidRPr="00620BD3">
              <w:rPr>
                <w:rFonts w:ascii="Calibri" w:hAnsi="Calibri"/>
                <w:b/>
                <w:bCs/>
                <w:lang w:val="sr-Latn-BA" w:eastAsia="sr-Latn-BA"/>
              </w:rPr>
              <w:t>Za go</w:t>
            </w:r>
            <w:r>
              <w:rPr>
                <w:rFonts w:ascii="Calibri" w:hAnsi="Calibri"/>
                <w:b/>
                <w:bCs/>
                <w:lang w:val="sr-Latn-BA" w:eastAsia="sr-Latn-BA"/>
              </w:rPr>
              <w:t>dinu koja se završila 31.12.2018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1A7845" w:rsidRPr="00F36B2B" w:rsidRDefault="001A7845" w:rsidP="00E349B4">
            <w:pPr>
              <w:jc w:val="right"/>
              <w:rPr>
                <w:rFonts w:ascii="Calibri" w:hAnsi="Calibri"/>
                <w:b/>
                <w:color w:val="000000"/>
                <w:u w:val="single"/>
                <w:lang w:val="sr-Latn-BA" w:eastAsia="sr-Latn-BA"/>
              </w:rPr>
            </w:pPr>
            <w:r>
              <w:rPr>
                <w:rFonts w:ascii="Calibri" w:hAnsi="Calibri"/>
                <w:color w:val="000000"/>
                <w:u w:val="single"/>
                <w:lang w:val="sr-Latn-BA" w:eastAsia="sr-Latn-BA"/>
              </w:rPr>
              <w:t>14.939,97</w:t>
            </w:r>
            <w:r w:rsidRPr="00F36B2B">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1A7845" w:rsidRPr="00620BD3" w:rsidRDefault="001A7845" w:rsidP="00E349B4">
            <w:pPr>
              <w:jc w:val="right"/>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1A7845" w:rsidRDefault="001A7845" w:rsidP="00952D10">
      <w:pPr>
        <w:tabs>
          <w:tab w:val="left" w:pos="-1440"/>
          <w:tab w:val="left" w:pos="-720"/>
          <w:tab w:val="left" w:pos="889"/>
          <w:tab w:val="left" w:pos="1231"/>
          <w:tab w:val="right" w:pos="8960"/>
        </w:tabs>
        <w:rPr>
          <w:rFonts w:ascii="Calibri" w:hAnsi="Calibri" w:cs="Calibri"/>
          <w:noProof/>
        </w:rPr>
      </w:pPr>
    </w:p>
    <w:p w:rsidR="001A7845" w:rsidRDefault="009B02A7" w:rsidP="00952D10">
      <w:pPr>
        <w:tabs>
          <w:tab w:val="left" w:pos="-1440"/>
          <w:tab w:val="left" w:pos="-720"/>
          <w:tab w:val="left" w:pos="889"/>
          <w:tab w:val="left" w:pos="1231"/>
          <w:tab w:val="right" w:pos="8960"/>
        </w:tabs>
        <w:rPr>
          <w:rFonts w:ascii="Calibri" w:hAnsi="Calibri" w:cs="Calibri"/>
          <w:noProof/>
        </w:rPr>
      </w:pPr>
      <w:r>
        <w:rPr>
          <w:rFonts w:ascii="Calibri" w:hAnsi="Calibri" w:cs="Calibri"/>
          <w:noProof/>
        </w:rPr>
        <w:t>Rashodi po osnovu poreza u iznosu od 14.939,97 KM odnose se na neplaćenu obavezu ZMIF-a Kristal invest fond-a.</w:t>
      </w:r>
    </w:p>
    <w:p w:rsidR="009B02A7" w:rsidRDefault="009B02A7" w:rsidP="00952D10">
      <w:pPr>
        <w:tabs>
          <w:tab w:val="left" w:pos="-1440"/>
          <w:tab w:val="left" w:pos="-720"/>
          <w:tab w:val="left" w:pos="889"/>
          <w:tab w:val="left" w:pos="1231"/>
          <w:tab w:val="right" w:pos="8960"/>
        </w:tabs>
        <w:rPr>
          <w:rFonts w:ascii="Calibri" w:hAnsi="Calibri" w:cs="Calibri"/>
          <w:noProof/>
        </w:rPr>
      </w:pPr>
    </w:p>
    <w:p w:rsidR="001A7845" w:rsidRPr="00A47E7E" w:rsidRDefault="001A7845"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4" w:name="_Toc506796516"/>
      <w:r w:rsidRPr="00A47E7E">
        <w:rPr>
          <w:rFonts w:ascii="Calibri" w:hAnsi="Calibri" w:cs="Calibri"/>
          <w:noProof/>
          <w:sz w:val="24"/>
          <w:szCs w:val="24"/>
          <w:lang w:val="sr-Latn-CS"/>
        </w:rPr>
        <w:t>OSTALI POSLOVNI RASHODI FONDA</w:t>
      </w:r>
      <w:bookmarkEnd w:id="24"/>
    </w:p>
    <w:tbl>
      <w:tblPr>
        <w:tblW w:w="8068" w:type="dxa"/>
        <w:tblInd w:w="99" w:type="dxa"/>
        <w:tblLook w:val="04A0"/>
      </w:tblPr>
      <w:tblGrid>
        <w:gridCol w:w="5120"/>
        <w:gridCol w:w="1760"/>
        <w:gridCol w:w="1188"/>
      </w:tblGrid>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790187">
              <w:rPr>
                <w:rFonts w:ascii="Calibri" w:hAnsi="Calibri"/>
                <w:b/>
                <w:bCs/>
                <w:color w:val="000000"/>
                <w:lang w:val="sr-Latn-BA" w:eastAsia="sr-Latn-BA"/>
              </w:rPr>
              <w:t>8</w:t>
            </w:r>
          </w:p>
        </w:tc>
        <w:tc>
          <w:tcPr>
            <w:tcW w:w="1188"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790187">
              <w:rPr>
                <w:rFonts w:ascii="Calibri" w:hAnsi="Calibri"/>
                <w:b/>
                <w:bCs/>
                <w:color w:val="000000"/>
                <w:lang w:val="sr-Latn-BA" w:eastAsia="sr-Latn-BA"/>
              </w:rPr>
              <w:t>7</w:t>
            </w:r>
          </w:p>
        </w:tc>
      </w:tr>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0BD3" w:rsidRPr="00620BD3" w:rsidRDefault="001A7845" w:rsidP="00620BD3">
            <w:pPr>
              <w:rPr>
                <w:rFonts w:ascii="Calibri" w:hAnsi="Calibri"/>
                <w:lang w:val="sr-Latn-BA" w:eastAsia="sr-Latn-BA"/>
              </w:rPr>
            </w:pPr>
            <w:r>
              <w:rPr>
                <w:rFonts w:ascii="Calibri" w:hAnsi="Calibri"/>
                <w:lang w:val="sr-Latn-BA" w:eastAsia="sr-Latn-BA"/>
              </w:rPr>
              <w:t>Naknade berzi</w:t>
            </w:r>
          </w:p>
        </w:tc>
        <w:tc>
          <w:tcPr>
            <w:tcW w:w="1760" w:type="dxa"/>
            <w:tcBorders>
              <w:top w:val="nil"/>
              <w:left w:val="nil"/>
              <w:bottom w:val="nil"/>
              <w:right w:val="nil"/>
            </w:tcBorders>
            <w:shd w:val="clear" w:color="000000" w:fill="FFFFFF"/>
            <w:noWrap/>
            <w:vAlign w:val="bottom"/>
            <w:hideMark/>
          </w:tcPr>
          <w:p w:rsidR="00620BD3" w:rsidRPr="00620BD3" w:rsidRDefault="00620BD3" w:rsidP="008C56DF">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1A7845">
              <w:rPr>
                <w:rFonts w:ascii="Calibri" w:hAnsi="Calibri"/>
                <w:color w:val="000000"/>
                <w:lang w:val="sr-Latn-BA" w:eastAsia="sr-Latn-BA"/>
              </w:rPr>
              <w:t xml:space="preserve">  1.078,90</w:t>
            </w:r>
          </w:p>
        </w:tc>
        <w:tc>
          <w:tcPr>
            <w:tcW w:w="1188" w:type="dxa"/>
            <w:tcBorders>
              <w:top w:val="nil"/>
              <w:left w:val="nil"/>
              <w:bottom w:val="nil"/>
              <w:right w:val="nil"/>
            </w:tcBorders>
            <w:shd w:val="clear" w:color="000000" w:fill="FFFFFF"/>
            <w:vAlign w:val="center"/>
            <w:hideMark/>
          </w:tcPr>
          <w:p w:rsidR="00620BD3" w:rsidRPr="00620BD3" w:rsidRDefault="00587F57" w:rsidP="008C56DF">
            <w:pPr>
              <w:jc w:val="right"/>
              <w:rPr>
                <w:rFonts w:ascii="Calibri" w:hAnsi="Calibri"/>
                <w:color w:val="000000"/>
                <w:lang w:val="sr-Latn-BA" w:eastAsia="sr-Latn-BA"/>
              </w:rPr>
            </w:pPr>
            <w:r>
              <w:rPr>
                <w:rFonts w:ascii="Calibri" w:hAnsi="Calibri"/>
                <w:color w:val="000000"/>
                <w:lang w:val="sr-Latn-BA" w:eastAsia="sr-Latn-BA"/>
              </w:rPr>
              <w:t>-</w:t>
            </w:r>
          </w:p>
        </w:tc>
      </w:tr>
      <w:tr w:rsidR="00622A1A" w:rsidRPr="00620BD3" w:rsidTr="00622A1A">
        <w:trPr>
          <w:trHeight w:val="310"/>
        </w:trPr>
        <w:tc>
          <w:tcPr>
            <w:tcW w:w="5120" w:type="dxa"/>
            <w:tcBorders>
              <w:top w:val="nil"/>
              <w:left w:val="nil"/>
              <w:bottom w:val="nil"/>
              <w:right w:val="nil"/>
            </w:tcBorders>
            <w:shd w:val="clear" w:color="000000" w:fill="FFFFFF"/>
            <w:noWrap/>
            <w:vAlign w:val="bottom"/>
            <w:hideMark/>
          </w:tcPr>
          <w:p w:rsidR="00622A1A" w:rsidRPr="00620BD3" w:rsidRDefault="00622A1A" w:rsidP="008C56DF">
            <w:pPr>
              <w:rPr>
                <w:rFonts w:ascii="Calibri" w:hAnsi="Calibri"/>
                <w:lang w:val="sr-Latn-BA" w:eastAsia="sr-Latn-BA"/>
              </w:rPr>
            </w:pPr>
            <w:r w:rsidRPr="00620BD3">
              <w:rPr>
                <w:rFonts w:ascii="Calibri" w:hAnsi="Calibri"/>
                <w:lang w:val="sr-Latn-BA" w:eastAsia="sr-Latn-BA"/>
              </w:rPr>
              <w:t xml:space="preserve">Troškovi </w:t>
            </w:r>
            <w:r w:rsidR="008C56DF">
              <w:rPr>
                <w:rFonts w:ascii="Calibri" w:hAnsi="Calibri"/>
                <w:lang w:val="sr-Latn-BA" w:eastAsia="sr-Latn-BA"/>
              </w:rPr>
              <w:t xml:space="preserve">za bankarske naknade </w:t>
            </w:r>
            <w:r>
              <w:rPr>
                <w:rFonts w:ascii="Calibri" w:hAnsi="Calibri"/>
                <w:lang w:val="sr-Latn-BA" w:eastAsia="sr-Latn-BA"/>
              </w:rPr>
              <w:t xml:space="preserve"> </w:t>
            </w:r>
          </w:p>
        </w:tc>
        <w:tc>
          <w:tcPr>
            <w:tcW w:w="1760" w:type="dxa"/>
            <w:tcBorders>
              <w:top w:val="nil"/>
              <w:left w:val="nil"/>
              <w:bottom w:val="nil"/>
              <w:right w:val="nil"/>
            </w:tcBorders>
            <w:shd w:val="clear" w:color="000000" w:fill="FFFFFF"/>
            <w:noWrap/>
            <w:vAlign w:val="bottom"/>
            <w:hideMark/>
          </w:tcPr>
          <w:p w:rsidR="00622A1A" w:rsidRPr="00620BD3" w:rsidRDefault="008C56DF" w:rsidP="008C56DF">
            <w:pPr>
              <w:jc w:val="right"/>
              <w:rPr>
                <w:rFonts w:ascii="Calibri" w:hAnsi="Calibri"/>
                <w:color w:val="000000"/>
                <w:lang w:val="sr-Latn-BA" w:eastAsia="sr-Latn-BA"/>
              </w:rPr>
            </w:pPr>
            <w:r>
              <w:rPr>
                <w:rFonts w:ascii="Calibri" w:hAnsi="Calibri"/>
                <w:color w:val="000000"/>
                <w:lang w:val="sr-Latn-BA" w:eastAsia="sr-Latn-BA"/>
              </w:rPr>
              <w:t xml:space="preserve">        63,20</w:t>
            </w:r>
            <w:r w:rsidR="00622A1A" w:rsidRPr="00620BD3">
              <w:rPr>
                <w:rFonts w:ascii="Calibri" w:hAnsi="Calibri"/>
                <w:color w:val="000000"/>
                <w:lang w:val="sr-Latn-BA" w:eastAsia="sr-Latn-BA"/>
              </w:rPr>
              <w:t xml:space="preserve">    </w:t>
            </w:r>
          </w:p>
        </w:tc>
        <w:tc>
          <w:tcPr>
            <w:tcW w:w="1188" w:type="dxa"/>
            <w:tcBorders>
              <w:top w:val="nil"/>
              <w:left w:val="nil"/>
              <w:bottom w:val="nil"/>
              <w:right w:val="nil"/>
            </w:tcBorders>
            <w:shd w:val="clear" w:color="000000" w:fill="FFFFFF"/>
            <w:vAlign w:val="center"/>
            <w:hideMark/>
          </w:tcPr>
          <w:p w:rsidR="00622A1A" w:rsidRPr="00620BD3" w:rsidRDefault="00622A1A" w:rsidP="008C56DF">
            <w:pPr>
              <w:jc w:val="right"/>
              <w:rPr>
                <w:rFonts w:ascii="Calibri" w:hAnsi="Calibri"/>
                <w:color w:val="000000"/>
                <w:lang w:val="sr-Latn-BA" w:eastAsia="sr-Latn-BA"/>
              </w:rPr>
            </w:pPr>
            <w:r>
              <w:rPr>
                <w:rFonts w:ascii="Calibri" w:hAnsi="Calibri"/>
                <w:color w:val="000000"/>
                <w:lang w:val="sr-Latn-BA" w:eastAsia="sr-Latn-BA"/>
              </w:rPr>
              <w:t>-</w:t>
            </w:r>
            <w:r w:rsidRPr="00620BD3">
              <w:rPr>
                <w:rFonts w:ascii="Calibri" w:hAnsi="Calibri"/>
                <w:color w:val="000000"/>
                <w:lang w:val="sr-Latn-BA" w:eastAsia="sr-Latn-BA"/>
              </w:rPr>
              <w:t> </w:t>
            </w:r>
          </w:p>
        </w:tc>
      </w:tr>
      <w:tr w:rsidR="00620BD3" w:rsidRPr="00620BD3" w:rsidTr="00622A1A">
        <w:trPr>
          <w:trHeight w:val="310"/>
        </w:trPr>
        <w:tc>
          <w:tcPr>
            <w:tcW w:w="5120" w:type="dxa"/>
            <w:tcBorders>
              <w:top w:val="nil"/>
              <w:left w:val="nil"/>
              <w:bottom w:val="nil"/>
              <w:right w:val="nil"/>
            </w:tcBorders>
            <w:shd w:val="clear" w:color="000000" w:fill="FFFFFF"/>
            <w:noWrap/>
            <w:vAlign w:val="bottom"/>
            <w:hideMark/>
          </w:tcPr>
          <w:p w:rsidR="00622A1A" w:rsidRPr="00620BD3" w:rsidRDefault="00620BD3"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620BD3" w:rsidRPr="00620BD3" w:rsidRDefault="00620BD3" w:rsidP="008C56DF">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620BD3" w:rsidRPr="00620BD3" w:rsidRDefault="00620BD3" w:rsidP="008C56DF">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2A1A">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w:t>
            </w:r>
            <w:r w:rsidR="00790187">
              <w:rPr>
                <w:rFonts w:ascii="Calibri" w:hAnsi="Calibri"/>
                <w:b/>
                <w:bCs/>
                <w:lang w:val="sr-Latn-BA" w:eastAsia="sr-Latn-BA"/>
              </w:rPr>
              <w:t>dinu koja se završila 31.12.2018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F36B2B" w:rsidRDefault="00620BD3" w:rsidP="008C56DF">
            <w:pPr>
              <w:jc w:val="right"/>
              <w:rPr>
                <w:rFonts w:ascii="Calibri" w:hAnsi="Calibri"/>
                <w:b/>
                <w:color w:val="000000"/>
                <w:u w:val="single"/>
                <w:lang w:val="sr-Latn-BA" w:eastAsia="sr-Latn-BA"/>
              </w:rPr>
            </w:pPr>
            <w:r w:rsidRPr="00620BD3">
              <w:rPr>
                <w:rFonts w:ascii="Calibri" w:hAnsi="Calibri"/>
                <w:color w:val="000000"/>
                <w:u w:val="single"/>
                <w:lang w:val="sr-Latn-BA" w:eastAsia="sr-Latn-BA"/>
              </w:rPr>
              <w:t xml:space="preserve">          </w:t>
            </w:r>
            <w:r w:rsidR="008C56DF">
              <w:rPr>
                <w:rFonts w:ascii="Calibri" w:hAnsi="Calibri"/>
                <w:b/>
                <w:color w:val="000000"/>
                <w:u w:val="single"/>
                <w:lang w:val="sr-Latn-BA" w:eastAsia="sr-Latn-BA"/>
              </w:rPr>
              <w:t>1.142,10</w:t>
            </w:r>
            <w:r w:rsidRPr="00F36B2B">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620BD3" w:rsidRPr="00620BD3" w:rsidRDefault="00620BD3" w:rsidP="008C56DF">
            <w:pPr>
              <w:jc w:val="right"/>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2E3967" w:rsidP="008020B2">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8020B2" w:rsidRPr="008020B2" w:rsidRDefault="002E3967" w:rsidP="008020B2">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2677B9" w:rsidRPr="008020B2" w:rsidRDefault="002677B9" w:rsidP="00651766">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651766">
              <w:rPr>
                <w:rFonts w:ascii="Calibri" w:hAnsi="Calibri"/>
                <w:color w:val="000000"/>
                <w:lang w:val="sr-Latn-BA" w:eastAsia="sr-Latn-BA"/>
              </w:rPr>
              <w:t>50.297,64</w:t>
            </w:r>
            <w:r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2677B9" w:rsidRPr="008020B2" w:rsidRDefault="002677B9" w:rsidP="00651766">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651766">
              <w:rPr>
                <w:rFonts w:ascii="Calibri" w:hAnsi="Calibri"/>
                <w:color w:val="000000"/>
                <w:lang w:val="sr-Latn-BA" w:eastAsia="sr-Latn-BA"/>
              </w:rPr>
              <w:t>-</w:t>
            </w:r>
            <w:r w:rsidRPr="008020B2">
              <w:rPr>
                <w:rFonts w:ascii="Calibri" w:hAnsi="Calibri"/>
                <w:color w:val="000000"/>
                <w:lang w:val="sr-Latn-BA" w:eastAsia="sr-Latn-BA"/>
              </w:rPr>
              <w:t xml:space="preserve">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2677B9" w:rsidRPr="008020B2" w:rsidRDefault="002E3967" w:rsidP="00651766">
            <w:pPr>
              <w:jc w:val="right"/>
              <w:rPr>
                <w:rFonts w:ascii="Calibri" w:hAnsi="Calibri"/>
                <w:color w:val="000000"/>
                <w:lang w:val="sr-Latn-BA" w:eastAsia="sr-Latn-BA"/>
              </w:rPr>
            </w:pPr>
            <w:r>
              <w:rPr>
                <w:rFonts w:ascii="Calibri" w:hAnsi="Calibri"/>
                <w:color w:val="000000"/>
                <w:lang w:val="sr-Latn-BA" w:eastAsia="sr-Latn-BA"/>
              </w:rPr>
              <w:t xml:space="preserve">                  </w:t>
            </w:r>
            <w:r w:rsidR="00651766">
              <w:rPr>
                <w:rFonts w:ascii="Calibri" w:hAnsi="Calibri"/>
                <w:color w:val="000000"/>
                <w:lang w:val="sr-Latn-BA" w:eastAsia="sr-Latn-BA"/>
              </w:rPr>
              <w:t>-</w:t>
            </w:r>
            <w:r w:rsidR="002677B9"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2677B9" w:rsidRPr="008020B2" w:rsidRDefault="002677B9" w:rsidP="00651766">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651766">
              <w:rPr>
                <w:rFonts w:ascii="Calibri" w:hAnsi="Calibri"/>
                <w:color w:val="000000"/>
                <w:lang w:val="sr-Latn-BA" w:eastAsia="sr-Latn-BA"/>
              </w:rPr>
              <w:t>-</w:t>
            </w:r>
            <w:r w:rsidRPr="008020B2">
              <w:rPr>
                <w:rFonts w:ascii="Calibri" w:hAnsi="Calibri"/>
                <w:color w:val="000000"/>
                <w:lang w:val="sr-Latn-BA" w:eastAsia="sr-Latn-BA"/>
              </w:rPr>
              <w:t xml:space="preserve">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2677B9" w:rsidRPr="008020B2" w:rsidRDefault="002677B9"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2677B9" w:rsidRPr="008020B2" w:rsidRDefault="002677B9" w:rsidP="002E3967">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r>
      <w:tr w:rsidR="002677B9" w:rsidRPr="008020B2" w:rsidTr="008020B2">
        <w:trPr>
          <w:trHeight w:val="31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2677B9" w:rsidRPr="008020B2" w:rsidRDefault="002677B9"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2677B9" w:rsidRPr="008020B2" w:rsidTr="008020B2">
        <w:trPr>
          <w:trHeight w:val="370"/>
        </w:trPr>
        <w:tc>
          <w:tcPr>
            <w:tcW w:w="5580" w:type="dxa"/>
            <w:tcBorders>
              <w:top w:val="nil"/>
              <w:left w:val="nil"/>
              <w:bottom w:val="nil"/>
              <w:right w:val="nil"/>
            </w:tcBorders>
            <w:shd w:val="clear" w:color="000000" w:fill="FFFFFF"/>
            <w:noWrap/>
            <w:vAlign w:val="bottom"/>
            <w:hideMark/>
          </w:tcPr>
          <w:p w:rsidR="002677B9" w:rsidRPr="008020B2" w:rsidRDefault="002677B9" w:rsidP="008020B2">
            <w:pPr>
              <w:rPr>
                <w:rFonts w:ascii="Calibri" w:hAnsi="Calibri"/>
                <w:b/>
                <w:bCs/>
                <w:lang w:val="sr-Latn-BA" w:eastAsia="sr-Latn-BA"/>
              </w:rPr>
            </w:pPr>
            <w:r w:rsidRPr="008020B2">
              <w:rPr>
                <w:rFonts w:ascii="Calibri" w:hAnsi="Calibri"/>
                <w:b/>
                <w:bCs/>
                <w:lang w:val="sr-Latn-BA" w:eastAsia="sr-Latn-BA"/>
              </w:rPr>
              <w:t xml:space="preserve">Za godinu </w:t>
            </w:r>
            <w:r w:rsidR="002E3967">
              <w:rPr>
                <w:rFonts w:ascii="Calibri" w:hAnsi="Calibri"/>
                <w:b/>
                <w:bCs/>
                <w:lang w:val="sr-Latn-BA" w:eastAsia="sr-Latn-BA"/>
              </w:rPr>
              <w:t>koja se završila 31.12.2018</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2677B9" w:rsidRPr="008020B2" w:rsidRDefault="002E3967" w:rsidP="00651766">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651766">
              <w:rPr>
                <w:rFonts w:ascii="Calibri" w:hAnsi="Calibri"/>
                <w:b/>
                <w:bCs/>
                <w:color w:val="000000"/>
                <w:u w:val="single"/>
                <w:lang w:val="sr-Latn-BA" w:eastAsia="sr-Latn-BA"/>
              </w:rPr>
              <w:t>50.297,64</w:t>
            </w:r>
            <w:r w:rsidR="002677B9"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2677B9" w:rsidRPr="008020B2" w:rsidRDefault="002677B9" w:rsidP="00651766">
            <w:pPr>
              <w:jc w:val="right"/>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w:t>
            </w:r>
            <w:r w:rsidR="002E3967" w:rsidRPr="008020B2">
              <w:rPr>
                <w:rFonts w:ascii="Calibri" w:hAnsi="Calibri"/>
                <w:b/>
                <w:bCs/>
                <w:color w:val="000000"/>
                <w:u w:val="single"/>
                <w:lang w:val="sr-Latn-BA" w:eastAsia="sr-Latn-BA"/>
              </w:rPr>
              <w:t xml:space="preserve">             </w:t>
            </w:r>
            <w:r w:rsidR="00651766">
              <w:rPr>
                <w:rFonts w:ascii="Calibri" w:hAnsi="Calibri"/>
                <w:b/>
                <w:bCs/>
                <w:color w:val="000000"/>
                <w:u w:val="single"/>
                <w:lang w:val="sr-Latn-BA" w:eastAsia="sr-Latn-BA"/>
              </w:rPr>
              <w:t>-</w:t>
            </w:r>
            <w:r w:rsidR="002E3967" w:rsidRPr="008020B2">
              <w:rPr>
                <w:rFonts w:ascii="Calibri" w:hAnsi="Calibri"/>
                <w:b/>
                <w:bCs/>
                <w:color w:val="000000"/>
                <w:u w:val="single"/>
                <w:lang w:val="sr-Latn-BA" w:eastAsia="sr-Latn-BA"/>
              </w:rPr>
              <w:t xml:space="preserve">    </w:t>
            </w:r>
            <w:r w:rsidRPr="008020B2">
              <w:rPr>
                <w:rFonts w:ascii="Calibri" w:hAnsi="Calibri"/>
                <w:b/>
                <w:bCs/>
                <w:color w:val="000000"/>
                <w:u w:val="single"/>
                <w:lang w:val="sr-Latn-BA" w:eastAsia="sr-Latn-BA"/>
              </w:rPr>
              <w:t xml:space="preserve">                      </w:t>
            </w:r>
            <w:r w:rsidR="002E3967">
              <w:rPr>
                <w:rFonts w:ascii="Calibri" w:hAnsi="Calibri"/>
                <w:b/>
                <w:bCs/>
                <w:color w:val="000000"/>
                <w:u w:val="single"/>
                <w:lang w:val="sr-Latn-BA" w:eastAsia="sr-Latn-BA"/>
              </w:rPr>
              <w:t xml:space="preserve">         </w:t>
            </w:r>
            <w:r w:rsidRPr="008020B2">
              <w:rPr>
                <w:rFonts w:ascii="Calibri" w:hAnsi="Calibri"/>
                <w:b/>
                <w:bCs/>
                <w:color w:val="000000"/>
                <w:u w:val="single"/>
                <w:lang w:val="sr-Latn-BA" w:eastAsia="sr-Latn-BA"/>
              </w:rPr>
              <w:t xml:space="preserve">      </w:t>
            </w:r>
          </w:p>
        </w:tc>
      </w:tr>
      <w:tr w:rsidR="002677B9" w:rsidRPr="008020B2" w:rsidTr="008020B2">
        <w:trPr>
          <w:trHeight w:val="310"/>
        </w:trPr>
        <w:tc>
          <w:tcPr>
            <w:tcW w:w="5580" w:type="dxa"/>
            <w:tcBorders>
              <w:top w:val="nil"/>
              <w:left w:val="nil"/>
              <w:bottom w:val="nil"/>
              <w:right w:val="nil"/>
            </w:tcBorders>
            <w:shd w:val="clear" w:color="auto" w:fill="auto"/>
            <w:noWrap/>
            <w:vAlign w:val="bottom"/>
            <w:hideMark/>
          </w:tcPr>
          <w:p w:rsidR="002677B9" w:rsidRPr="008020B2" w:rsidRDefault="002677B9"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2677B9" w:rsidRPr="008020B2" w:rsidRDefault="002677B9"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2677B9" w:rsidRPr="008020B2" w:rsidRDefault="002677B9"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272CEA" w:rsidP="00EF35D6">
      <w:pPr>
        <w:tabs>
          <w:tab w:val="left" w:pos="-1440"/>
          <w:tab w:val="left" w:pos="-720"/>
          <w:tab w:val="left" w:pos="889"/>
          <w:tab w:val="left" w:pos="1231"/>
          <w:tab w:val="right" w:pos="8960"/>
        </w:tabs>
        <w:rPr>
          <w:rFonts w:ascii="Calibri" w:hAnsi="Calibri" w:cs="Calibri"/>
          <w:b/>
          <w:noProof/>
        </w:rPr>
      </w:pPr>
      <w:r>
        <w:rPr>
          <w:rFonts w:ascii="Calibri" w:hAnsi="Calibri" w:cs="Calibri"/>
          <w:b/>
          <w:noProof/>
        </w:rPr>
        <w:t xml:space="preserve"> </w:t>
      </w:r>
    </w:p>
    <w:p w:rsidR="007C048A" w:rsidRPr="009B02A7" w:rsidRDefault="002A3CF5" w:rsidP="007C048A">
      <w:pPr>
        <w:pStyle w:val="Heading1"/>
        <w:rPr>
          <w:rFonts w:ascii="Calibri" w:hAnsi="Calibri" w:cs="Calibri"/>
          <w:noProof/>
          <w:sz w:val="24"/>
          <w:szCs w:val="24"/>
        </w:rPr>
      </w:pPr>
      <w:bookmarkStart w:id="27" w:name="_Toc506796519"/>
      <w:r w:rsidRPr="009B02A7">
        <w:rPr>
          <w:rFonts w:ascii="Calibri" w:hAnsi="Calibri" w:cs="Calibri"/>
          <w:noProof/>
          <w:sz w:val="24"/>
          <w:szCs w:val="24"/>
        </w:rPr>
        <w:t>FINANSIJSKA SREDSTVA RASPOLOŽIVA ZA PRODAJU</w:t>
      </w:r>
      <w:bookmarkEnd w:id="27"/>
    </w:p>
    <w:tbl>
      <w:tblPr>
        <w:tblW w:w="9228" w:type="dxa"/>
        <w:tblInd w:w="100" w:type="dxa"/>
        <w:tblLook w:val="04A0"/>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2E3967">
              <w:rPr>
                <w:rFonts w:ascii="Calibri" w:hAnsi="Calibri"/>
                <w:b/>
                <w:bCs/>
                <w:color w:val="000000"/>
                <w:lang w:val="sr-Latn-BA" w:eastAsia="sr-Latn-BA"/>
              </w:rPr>
              <w:t>8</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2E3967">
              <w:rPr>
                <w:rFonts w:ascii="Calibri" w:hAnsi="Calibri"/>
                <w:b/>
                <w:bCs/>
                <w:color w:val="000000"/>
                <w:lang w:val="sr-Latn-BA" w:eastAsia="sr-Latn-BA"/>
              </w:rPr>
              <w:t>7</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2E3967" w:rsidRPr="007C048A" w:rsidTr="007C048A">
        <w:trPr>
          <w:trHeight w:val="318"/>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2E3967" w:rsidRPr="007C048A" w:rsidRDefault="00E349B4" w:rsidP="00E349B4">
            <w:pPr>
              <w:jc w:val="right"/>
              <w:rPr>
                <w:rFonts w:ascii="Calibri" w:hAnsi="Calibri"/>
                <w:color w:val="000000"/>
                <w:lang w:val="sr-Latn-BA" w:eastAsia="sr-Latn-BA"/>
              </w:rPr>
            </w:pPr>
            <w:r>
              <w:rPr>
                <w:rFonts w:ascii="Calibri" w:hAnsi="Calibri"/>
                <w:color w:val="000000"/>
                <w:lang w:val="sr-Latn-BA" w:eastAsia="sr-Latn-BA"/>
              </w:rPr>
              <w:t>208.451,90</w:t>
            </w:r>
          </w:p>
        </w:tc>
        <w:tc>
          <w:tcPr>
            <w:tcW w:w="1520" w:type="dxa"/>
            <w:tcBorders>
              <w:top w:val="nil"/>
              <w:left w:val="nil"/>
              <w:bottom w:val="nil"/>
              <w:right w:val="nil"/>
            </w:tcBorders>
            <w:shd w:val="clear" w:color="000000" w:fill="FFFFFF"/>
            <w:noWrap/>
            <w:vAlign w:val="bottom"/>
            <w:hideMark/>
          </w:tcPr>
          <w:p w:rsidR="002E3967" w:rsidRPr="007C048A" w:rsidRDefault="00651766" w:rsidP="00E349B4">
            <w:pPr>
              <w:jc w:val="right"/>
              <w:rPr>
                <w:rFonts w:ascii="Calibri" w:hAnsi="Calibri"/>
                <w:color w:val="000000"/>
                <w:lang w:val="sr-Latn-BA" w:eastAsia="sr-Latn-BA"/>
              </w:rPr>
            </w:pPr>
            <w:r>
              <w:rPr>
                <w:rFonts w:ascii="Calibri" w:hAnsi="Calibri"/>
                <w:color w:val="000000"/>
                <w:lang w:val="sr-Latn-BA" w:eastAsia="sr-Latn-BA"/>
              </w:rPr>
              <w:t>-</w:t>
            </w:r>
          </w:p>
        </w:tc>
      </w:tr>
      <w:tr w:rsidR="002E3967" w:rsidRPr="007C048A" w:rsidTr="007C048A">
        <w:trPr>
          <w:trHeight w:val="318"/>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2E3967" w:rsidRPr="007C048A" w:rsidRDefault="00E349B4" w:rsidP="00E349B4">
            <w:pPr>
              <w:jc w:val="right"/>
              <w:rPr>
                <w:rFonts w:ascii="Calibri" w:hAnsi="Calibri"/>
                <w:color w:val="000000"/>
                <w:lang w:val="sr-Latn-BA" w:eastAsia="sr-Latn-BA"/>
              </w:rPr>
            </w:pPr>
            <w:r>
              <w:rPr>
                <w:rFonts w:ascii="Calibri" w:hAnsi="Calibri"/>
                <w:color w:val="000000"/>
                <w:lang w:val="sr-Latn-BA" w:eastAsia="sr-Latn-BA"/>
              </w:rPr>
              <w:t>126.586,86</w:t>
            </w:r>
          </w:p>
        </w:tc>
        <w:tc>
          <w:tcPr>
            <w:tcW w:w="1520" w:type="dxa"/>
            <w:tcBorders>
              <w:top w:val="nil"/>
              <w:left w:val="nil"/>
              <w:bottom w:val="nil"/>
              <w:right w:val="nil"/>
            </w:tcBorders>
            <w:shd w:val="clear" w:color="000000" w:fill="FFFFFF"/>
            <w:noWrap/>
            <w:vAlign w:val="bottom"/>
            <w:hideMark/>
          </w:tcPr>
          <w:p w:rsidR="002E3967" w:rsidRPr="007C048A" w:rsidRDefault="00651766" w:rsidP="00E349B4">
            <w:pPr>
              <w:jc w:val="right"/>
              <w:rPr>
                <w:rFonts w:ascii="Calibri" w:hAnsi="Calibri"/>
                <w:color w:val="000000"/>
                <w:lang w:val="sr-Latn-BA" w:eastAsia="sr-Latn-BA"/>
              </w:rPr>
            </w:pPr>
            <w:r>
              <w:rPr>
                <w:rFonts w:ascii="Calibri" w:hAnsi="Calibri"/>
                <w:color w:val="000000"/>
                <w:lang w:val="sr-Latn-BA" w:eastAsia="sr-Latn-BA"/>
              </w:rPr>
              <w:t>-</w:t>
            </w:r>
          </w:p>
        </w:tc>
      </w:tr>
      <w:tr w:rsidR="002E3967" w:rsidRPr="007C048A" w:rsidTr="007C048A">
        <w:trPr>
          <w:trHeight w:val="318"/>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2E3967" w:rsidRPr="007C048A" w:rsidRDefault="002E3967" w:rsidP="00E349B4">
            <w:pPr>
              <w:jc w:val="right"/>
              <w:rPr>
                <w:rFonts w:ascii="Calibri" w:hAnsi="Calibri"/>
                <w:color w:val="000000"/>
                <w:lang w:val="sr-Latn-BA" w:eastAsia="sr-Latn-BA"/>
              </w:rPr>
            </w:pPr>
          </w:p>
        </w:tc>
        <w:tc>
          <w:tcPr>
            <w:tcW w:w="1520" w:type="dxa"/>
            <w:tcBorders>
              <w:top w:val="nil"/>
              <w:left w:val="nil"/>
              <w:bottom w:val="nil"/>
              <w:right w:val="nil"/>
            </w:tcBorders>
            <w:shd w:val="clear" w:color="000000" w:fill="FFFFFF"/>
            <w:noWrap/>
            <w:vAlign w:val="bottom"/>
            <w:hideMark/>
          </w:tcPr>
          <w:p w:rsidR="002E3967" w:rsidRPr="007C048A" w:rsidRDefault="002E3967" w:rsidP="00E349B4">
            <w:pPr>
              <w:jc w:val="right"/>
              <w:rPr>
                <w:rFonts w:ascii="Calibri" w:hAnsi="Calibri"/>
                <w:color w:val="000000"/>
                <w:lang w:val="sr-Latn-BA" w:eastAsia="sr-Latn-BA"/>
              </w:rPr>
            </w:pPr>
          </w:p>
        </w:tc>
      </w:tr>
      <w:tr w:rsidR="002E3967" w:rsidRPr="007C048A" w:rsidTr="007C048A">
        <w:trPr>
          <w:trHeight w:val="369"/>
        </w:trPr>
        <w:tc>
          <w:tcPr>
            <w:tcW w:w="5708" w:type="dxa"/>
            <w:tcBorders>
              <w:top w:val="nil"/>
              <w:left w:val="nil"/>
              <w:bottom w:val="nil"/>
              <w:right w:val="nil"/>
            </w:tcBorders>
            <w:shd w:val="clear" w:color="000000" w:fill="FFFFFF"/>
            <w:noWrap/>
            <w:vAlign w:val="bottom"/>
            <w:hideMark/>
          </w:tcPr>
          <w:p w:rsidR="002E3967" w:rsidRPr="007C048A" w:rsidRDefault="002E3967" w:rsidP="007C048A">
            <w:pPr>
              <w:rPr>
                <w:rFonts w:ascii="Calibri" w:hAnsi="Calibri"/>
                <w:b/>
                <w:bCs/>
                <w:lang w:val="sr-Latn-BA" w:eastAsia="sr-Latn-BA"/>
              </w:rPr>
            </w:pPr>
            <w:r>
              <w:rPr>
                <w:rFonts w:ascii="Calibri" w:hAnsi="Calibri"/>
                <w:b/>
                <w:bCs/>
                <w:lang w:val="sr-Latn-BA" w:eastAsia="sr-Latn-BA"/>
              </w:rPr>
              <w:t>Stanje na dan  31.12.2018</w:t>
            </w:r>
            <w:r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2E3967" w:rsidRPr="007C048A" w:rsidRDefault="00E349B4" w:rsidP="00E349B4">
            <w:pPr>
              <w:jc w:val="right"/>
              <w:rPr>
                <w:rFonts w:ascii="Calibri" w:hAnsi="Calibri"/>
                <w:b/>
                <w:bCs/>
                <w:color w:val="000000"/>
                <w:u w:val="single"/>
                <w:lang w:val="sr-Latn-BA" w:eastAsia="sr-Latn-BA"/>
              </w:rPr>
            </w:pPr>
            <w:r>
              <w:rPr>
                <w:rFonts w:ascii="Calibri" w:hAnsi="Calibri"/>
                <w:b/>
                <w:bCs/>
                <w:color w:val="000000"/>
                <w:u w:val="single"/>
                <w:lang w:val="sr-Latn-BA" w:eastAsia="sr-Latn-BA"/>
              </w:rPr>
              <w:t>335.038,76</w:t>
            </w:r>
          </w:p>
        </w:tc>
        <w:tc>
          <w:tcPr>
            <w:tcW w:w="1520" w:type="dxa"/>
            <w:tcBorders>
              <w:top w:val="nil"/>
              <w:left w:val="nil"/>
              <w:bottom w:val="nil"/>
              <w:right w:val="nil"/>
            </w:tcBorders>
            <w:shd w:val="clear" w:color="000000" w:fill="FFFFFF"/>
            <w:noWrap/>
            <w:vAlign w:val="bottom"/>
            <w:hideMark/>
          </w:tcPr>
          <w:p w:rsidR="002E3967" w:rsidRPr="007C048A" w:rsidRDefault="00651766" w:rsidP="00E349B4">
            <w:pPr>
              <w:jc w:val="right"/>
              <w:rPr>
                <w:rFonts w:ascii="Calibri" w:hAnsi="Calibri"/>
                <w:b/>
                <w:bCs/>
                <w:color w:val="000000"/>
                <w:u w:val="single"/>
                <w:lang w:val="sr-Latn-BA" w:eastAsia="sr-Latn-BA"/>
              </w:rPr>
            </w:pPr>
            <w:r>
              <w:rPr>
                <w:rFonts w:ascii="Calibri" w:hAnsi="Calibri"/>
                <w:b/>
                <w:bCs/>
                <w:color w:val="000000"/>
                <w:u w:val="single"/>
                <w:lang w:val="sr-Latn-BA" w:eastAsia="sr-Latn-BA"/>
              </w:rPr>
              <w:t>-</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lastRenderedPageBreak/>
        <w:t xml:space="preserve">Najznačajnija ulaganja u HOV koje su raspoložive za prodaju na dan 31. </w:t>
      </w:r>
      <w:r w:rsidR="000924CB" w:rsidRPr="00A47E7E">
        <w:rPr>
          <w:rFonts w:ascii="Calibri" w:hAnsi="Calibri" w:cs="Calibri"/>
          <w:noProof/>
          <w:lang w:val="sr-Latn-CS"/>
        </w:rPr>
        <w:t>d</w:t>
      </w:r>
      <w:r w:rsidR="000E654D">
        <w:rPr>
          <w:rFonts w:ascii="Calibri" w:hAnsi="Calibri" w:cs="Calibri"/>
          <w:noProof/>
          <w:lang w:val="sr-Latn-CS"/>
        </w:rPr>
        <w:t>ecembra 2018</w:t>
      </w:r>
      <w:r w:rsidRPr="00A47E7E">
        <w:rPr>
          <w:rFonts w:ascii="Calibri" w:hAnsi="Calibri" w:cs="Calibri"/>
          <w:noProof/>
          <w:lang w:val="sr-Latn-CS"/>
        </w:rPr>
        <w:t>. godine su:</w:t>
      </w:r>
    </w:p>
    <w:tbl>
      <w:tblPr>
        <w:tblW w:w="9220" w:type="dxa"/>
        <w:tblInd w:w="100" w:type="dxa"/>
        <w:tblLook w:val="04A0"/>
      </w:tblPr>
      <w:tblGrid>
        <w:gridCol w:w="3640"/>
        <w:gridCol w:w="2180"/>
        <w:gridCol w:w="1400"/>
        <w:gridCol w:w="2000"/>
      </w:tblGrid>
      <w:tr w:rsidR="000E654D" w:rsidRPr="00707478" w:rsidTr="005C5B68">
        <w:trPr>
          <w:trHeight w:val="772"/>
        </w:trPr>
        <w:tc>
          <w:tcPr>
            <w:tcW w:w="3640" w:type="dxa"/>
            <w:tcBorders>
              <w:top w:val="nil"/>
              <w:left w:val="nil"/>
              <w:bottom w:val="nil"/>
              <w:right w:val="nil"/>
            </w:tcBorders>
            <w:shd w:val="clear" w:color="000000" w:fill="FFFFFF"/>
            <w:noWrap/>
            <w:vAlign w:val="bottom"/>
            <w:hideMark/>
          </w:tcPr>
          <w:p w:rsidR="000E654D" w:rsidRPr="00707478" w:rsidRDefault="000E654D" w:rsidP="005C5B6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0E654D" w:rsidRPr="00707478" w:rsidRDefault="000E654D" w:rsidP="005C5B6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0E654D" w:rsidRPr="00707478" w:rsidRDefault="000E654D" w:rsidP="005C5B6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0E654D" w:rsidRPr="00707478" w:rsidRDefault="000E654D" w:rsidP="005C5B6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0E654D" w:rsidRPr="00707478" w:rsidTr="005C5B68">
        <w:trPr>
          <w:trHeight w:val="405"/>
        </w:trPr>
        <w:tc>
          <w:tcPr>
            <w:tcW w:w="3640" w:type="dxa"/>
            <w:tcBorders>
              <w:top w:val="nil"/>
              <w:left w:val="nil"/>
              <w:bottom w:val="nil"/>
              <w:right w:val="nil"/>
            </w:tcBorders>
            <w:shd w:val="clear" w:color="000000" w:fill="FFFFFF"/>
            <w:noWrap/>
            <w:vAlign w:val="bottom"/>
            <w:hideMark/>
          </w:tcPr>
          <w:p w:rsidR="000E654D" w:rsidRPr="00707478" w:rsidRDefault="004410D1" w:rsidP="005C5B68">
            <w:pPr>
              <w:rPr>
                <w:rFonts w:ascii="Calibri" w:hAnsi="Calibri"/>
                <w:sz w:val="20"/>
                <w:szCs w:val="20"/>
                <w:lang w:val="sr-Latn-BA" w:eastAsia="sr-Latn-BA"/>
              </w:rPr>
            </w:pPr>
            <w:r>
              <w:rPr>
                <w:rFonts w:ascii="Calibri" w:hAnsi="Calibri"/>
                <w:sz w:val="20"/>
                <w:szCs w:val="20"/>
                <w:lang w:val="sr-Latn-BA" w:eastAsia="sr-Latn-BA"/>
              </w:rPr>
              <w:t xml:space="preserve">ONIF Kristal cash plus fund </w:t>
            </w:r>
            <w:r w:rsidR="000E654D" w:rsidRPr="00707478">
              <w:rPr>
                <w:rFonts w:ascii="Calibri" w:hAnsi="Calibri"/>
                <w:sz w:val="20"/>
                <w:szCs w:val="20"/>
                <w:lang w:val="sr-Latn-BA" w:eastAsia="sr-Latn-BA"/>
              </w:rPr>
              <w:t xml:space="preserve"> </w:t>
            </w:r>
          </w:p>
        </w:tc>
        <w:tc>
          <w:tcPr>
            <w:tcW w:w="2180" w:type="dxa"/>
            <w:tcBorders>
              <w:top w:val="single" w:sz="4" w:space="0" w:color="auto"/>
              <w:left w:val="nil"/>
              <w:bottom w:val="nil"/>
              <w:right w:val="nil"/>
            </w:tcBorders>
            <w:shd w:val="clear" w:color="000000" w:fill="FFFFFF"/>
            <w:vAlign w:val="bottom"/>
            <w:hideMark/>
          </w:tcPr>
          <w:p w:rsidR="000E654D" w:rsidRPr="00707478" w:rsidRDefault="004410D1" w:rsidP="000E654D">
            <w:pPr>
              <w:jc w:val="right"/>
              <w:rPr>
                <w:rFonts w:ascii="Calibri" w:hAnsi="Calibri"/>
                <w:sz w:val="20"/>
                <w:szCs w:val="20"/>
                <w:lang w:val="sr-Latn-BA" w:eastAsia="sr-Latn-BA"/>
              </w:rPr>
            </w:pPr>
            <w:r>
              <w:rPr>
                <w:rFonts w:ascii="Calibri" w:hAnsi="Calibri"/>
                <w:sz w:val="20"/>
                <w:szCs w:val="20"/>
                <w:lang w:val="sr-Latn-BA" w:eastAsia="sr-Latn-BA"/>
              </w:rPr>
              <w:t>171.548,19</w:t>
            </w:r>
          </w:p>
        </w:tc>
        <w:tc>
          <w:tcPr>
            <w:tcW w:w="1400" w:type="dxa"/>
            <w:tcBorders>
              <w:top w:val="single" w:sz="4" w:space="0" w:color="auto"/>
              <w:left w:val="nil"/>
              <w:bottom w:val="nil"/>
              <w:right w:val="nil"/>
            </w:tcBorders>
            <w:shd w:val="clear" w:color="000000" w:fill="FFFFFF"/>
            <w:noWrap/>
            <w:vAlign w:val="bottom"/>
            <w:hideMark/>
          </w:tcPr>
          <w:p w:rsidR="000E654D"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2,74</w:t>
            </w:r>
            <w:r w:rsidR="000E654D" w:rsidRPr="00707478">
              <w:rPr>
                <w:rFonts w:ascii="Calibri" w:hAnsi="Calibri"/>
                <w:sz w:val="20"/>
                <w:szCs w:val="20"/>
                <w:lang w:val="sr-Latn-BA" w:eastAsia="sr-Latn-BA"/>
              </w:rPr>
              <w:t>%</w:t>
            </w:r>
          </w:p>
        </w:tc>
        <w:tc>
          <w:tcPr>
            <w:tcW w:w="2000" w:type="dxa"/>
            <w:tcBorders>
              <w:top w:val="single" w:sz="4" w:space="0" w:color="auto"/>
              <w:left w:val="nil"/>
              <w:bottom w:val="nil"/>
              <w:right w:val="nil"/>
            </w:tcBorders>
            <w:shd w:val="clear" w:color="000000" w:fill="FFFFFF"/>
            <w:noWrap/>
            <w:vAlign w:val="bottom"/>
            <w:hideMark/>
          </w:tcPr>
          <w:p w:rsidR="000E654D"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4,37</w:t>
            </w:r>
            <w:r w:rsidR="000E654D" w:rsidRPr="00707478">
              <w:rPr>
                <w:rFonts w:ascii="Calibri" w:hAnsi="Calibri"/>
                <w:sz w:val="20"/>
                <w:szCs w:val="20"/>
                <w:lang w:val="sr-Latn-BA" w:eastAsia="sr-Latn-BA"/>
              </w:rPr>
              <w:t>%</w:t>
            </w:r>
          </w:p>
        </w:tc>
      </w:tr>
      <w:tr w:rsidR="000E654D" w:rsidRPr="00707478" w:rsidTr="005C5B68">
        <w:trPr>
          <w:trHeight w:val="405"/>
        </w:trPr>
        <w:tc>
          <w:tcPr>
            <w:tcW w:w="3640" w:type="dxa"/>
            <w:tcBorders>
              <w:top w:val="nil"/>
              <w:left w:val="nil"/>
              <w:bottom w:val="nil"/>
              <w:right w:val="nil"/>
            </w:tcBorders>
            <w:shd w:val="clear" w:color="000000" w:fill="FFFFFF"/>
            <w:noWrap/>
            <w:vAlign w:val="bottom"/>
            <w:hideMark/>
          </w:tcPr>
          <w:p w:rsidR="000E654D" w:rsidRPr="00707478" w:rsidRDefault="004410D1" w:rsidP="005C5B68">
            <w:pPr>
              <w:rPr>
                <w:rFonts w:ascii="Calibri" w:hAnsi="Calibri"/>
                <w:sz w:val="20"/>
                <w:szCs w:val="20"/>
                <w:lang w:val="sr-Latn-BA" w:eastAsia="sr-Latn-BA"/>
              </w:rPr>
            </w:pPr>
            <w:r>
              <w:rPr>
                <w:rFonts w:ascii="Calibri" w:hAnsi="Calibri"/>
                <w:sz w:val="20"/>
                <w:szCs w:val="20"/>
                <w:lang w:val="sr-Latn-BA" w:eastAsia="sr-Latn-BA"/>
              </w:rPr>
              <w:t xml:space="preserve">Sarajevo-gas ad, Sarajevo </w:t>
            </w:r>
            <w:r w:rsidR="000E654D"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0E654D"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113.496,9</w:t>
            </w:r>
            <w:r w:rsidR="00584D5D">
              <w:rPr>
                <w:rFonts w:ascii="Calibri" w:hAnsi="Calibri"/>
                <w:sz w:val="20"/>
                <w:szCs w:val="20"/>
                <w:lang w:val="sr-Latn-BA" w:eastAsia="sr-Latn-BA"/>
              </w:rPr>
              <w:t>5</w:t>
            </w:r>
          </w:p>
        </w:tc>
        <w:tc>
          <w:tcPr>
            <w:tcW w:w="1400" w:type="dxa"/>
            <w:tcBorders>
              <w:top w:val="nil"/>
              <w:left w:val="nil"/>
              <w:bottom w:val="nil"/>
              <w:right w:val="nil"/>
            </w:tcBorders>
            <w:shd w:val="clear" w:color="000000" w:fill="FFFFFF"/>
            <w:noWrap/>
            <w:vAlign w:val="bottom"/>
            <w:hideMark/>
          </w:tcPr>
          <w:p w:rsidR="000E654D"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13,84</w:t>
            </w:r>
            <w:r w:rsidR="000E654D" w:rsidRPr="00707478">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0E654D"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2,89</w:t>
            </w:r>
            <w:r w:rsidR="000E654D" w:rsidRPr="00707478">
              <w:rPr>
                <w:rFonts w:ascii="Calibri" w:hAnsi="Calibri"/>
                <w:sz w:val="20"/>
                <w:szCs w:val="20"/>
                <w:lang w:val="sr-Latn-BA" w:eastAsia="sr-Latn-BA"/>
              </w:rPr>
              <w:t>%</w:t>
            </w:r>
          </w:p>
        </w:tc>
      </w:tr>
      <w:tr w:rsidR="004410D1" w:rsidRPr="00707478" w:rsidTr="005C5B68">
        <w:trPr>
          <w:trHeight w:val="345"/>
        </w:trPr>
        <w:tc>
          <w:tcPr>
            <w:tcW w:w="3640" w:type="dxa"/>
            <w:tcBorders>
              <w:top w:val="nil"/>
              <w:left w:val="nil"/>
              <w:bottom w:val="nil"/>
              <w:right w:val="nil"/>
            </w:tcBorders>
            <w:shd w:val="clear" w:color="000000" w:fill="FFFFFF"/>
            <w:noWrap/>
            <w:vAlign w:val="bottom"/>
            <w:hideMark/>
          </w:tcPr>
          <w:p w:rsidR="004410D1" w:rsidRPr="00707478" w:rsidRDefault="004410D1" w:rsidP="005C5B68">
            <w:pPr>
              <w:rPr>
                <w:rFonts w:ascii="Calibri" w:hAnsi="Calibri"/>
                <w:sz w:val="20"/>
                <w:szCs w:val="20"/>
                <w:lang w:val="sr-Latn-BA" w:eastAsia="sr-Latn-BA"/>
              </w:rPr>
            </w:pPr>
            <w:r>
              <w:rPr>
                <w:rFonts w:ascii="Calibri" w:hAnsi="Calibri"/>
                <w:sz w:val="20"/>
                <w:szCs w:val="20"/>
                <w:lang w:val="sr-Latn-BA" w:eastAsia="sr-Latn-BA"/>
              </w:rPr>
              <w:t xml:space="preserve">Dobojinvest ad, Doboj </w:t>
            </w:r>
          </w:p>
        </w:tc>
        <w:tc>
          <w:tcPr>
            <w:tcW w:w="2180" w:type="dxa"/>
            <w:tcBorders>
              <w:top w:val="nil"/>
              <w:left w:val="nil"/>
              <w:bottom w:val="nil"/>
              <w:right w:val="nil"/>
            </w:tcBorders>
            <w:shd w:val="clear" w:color="000000" w:fill="FFFFFF"/>
            <w:vAlign w:val="bottom"/>
            <w:hideMark/>
          </w:tcPr>
          <w:p w:rsidR="004410D1"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40.644,67</w:t>
            </w:r>
          </w:p>
        </w:tc>
        <w:tc>
          <w:tcPr>
            <w:tcW w:w="1400" w:type="dxa"/>
            <w:tcBorders>
              <w:top w:val="nil"/>
              <w:left w:val="nil"/>
              <w:bottom w:val="nil"/>
              <w:right w:val="nil"/>
            </w:tcBorders>
            <w:shd w:val="clear" w:color="000000" w:fill="FFFFFF"/>
            <w:noWrap/>
            <w:vAlign w:val="bottom"/>
            <w:hideMark/>
          </w:tcPr>
          <w:p w:rsidR="004410D1"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9,29</w:t>
            </w:r>
            <w:r w:rsidR="00584D5D">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4410D1"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1,03</w:t>
            </w:r>
            <w:r w:rsidR="00584D5D">
              <w:rPr>
                <w:rFonts w:ascii="Calibri" w:hAnsi="Calibri"/>
                <w:sz w:val="20"/>
                <w:szCs w:val="20"/>
                <w:lang w:val="sr-Latn-BA" w:eastAsia="sr-Latn-BA"/>
              </w:rPr>
              <w:t>%</w:t>
            </w:r>
          </w:p>
        </w:tc>
      </w:tr>
      <w:tr w:rsidR="000E654D" w:rsidRPr="00707478" w:rsidTr="005C5B68">
        <w:trPr>
          <w:trHeight w:val="318"/>
        </w:trPr>
        <w:tc>
          <w:tcPr>
            <w:tcW w:w="3640" w:type="dxa"/>
            <w:tcBorders>
              <w:top w:val="nil"/>
              <w:left w:val="nil"/>
              <w:bottom w:val="nil"/>
              <w:right w:val="nil"/>
            </w:tcBorders>
            <w:shd w:val="clear" w:color="000000" w:fill="FFFFFF"/>
            <w:noWrap/>
            <w:vAlign w:val="bottom"/>
            <w:hideMark/>
          </w:tcPr>
          <w:p w:rsidR="000E654D" w:rsidRPr="004410D1" w:rsidRDefault="000E654D" w:rsidP="005C5B68">
            <w:pPr>
              <w:rPr>
                <w:rFonts w:ascii="Calibri" w:hAnsi="Calibri"/>
                <w:sz w:val="20"/>
                <w:szCs w:val="20"/>
                <w:lang w:val="sr-Latn-BA" w:eastAsia="sr-Latn-BA"/>
              </w:rPr>
            </w:pPr>
          </w:p>
          <w:p w:rsidR="004410D1" w:rsidRPr="004410D1" w:rsidRDefault="004410D1" w:rsidP="005C5B68">
            <w:pPr>
              <w:rPr>
                <w:rFonts w:ascii="Calibri" w:hAnsi="Calibri"/>
                <w:sz w:val="20"/>
                <w:szCs w:val="20"/>
                <w:lang w:val="sr-Latn-BA" w:eastAsia="sr-Latn-BA"/>
              </w:rPr>
            </w:pPr>
            <w:r w:rsidRPr="004410D1">
              <w:rPr>
                <w:rFonts w:ascii="Calibri" w:hAnsi="Calibri"/>
                <w:sz w:val="20"/>
                <w:szCs w:val="20"/>
                <w:lang w:val="sr-Latn-BA" w:eastAsia="sr-Latn-BA"/>
              </w:rPr>
              <w:t xml:space="preserve">Tesla dd, Brčko </w:t>
            </w:r>
          </w:p>
        </w:tc>
        <w:tc>
          <w:tcPr>
            <w:tcW w:w="2180" w:type="dxa"/>
            <w:tcBorders>
              <w:top w:val="nil"/>
              <w:left w:val="nil"/>
              <w:bottom w:val="nil"/>
              <w:right w:val="nil"/>
            </w:tcBorders>
            <w:shd w:val="clear" w:color="000000" w:fill="FFFFFF"/>
            <w:vAlign w:val="bottom"/>
            <w:hideMark/>
          </w:tcPr>
          <w:p w:rsidR="000E654D" w:rsidRPr="004410D1"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509,34</w:t>
            </w:r>
          </w:p>
        </w:tc>
        <w:tc>
          <w:tcPr>
            <w:tcW w:w="1400" w:type="dxa"/>
            <w:tcBorders>
              <w:top w:val="nil"/>
              <w:left w:val="nil"/>
              <w:bottom w:val="nil"/>
              <w:right w:val="nil"/>
            </w:tcBorders>
            <w:shd w:val="clear" w:color="000000" w:fill="FFFFFF"/>
            <w:noWrap/>
            <w:vAlign w:val="bottom"/>
            <w:hideMark/>
          </w:tcPr>
          <w:p w:rsidR="000E654D" w:rsidRPr="004410D1"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0,08</w:t>
            </w:r>
            <w:r w:rsidR="000E654D" w:rsidRPr="004410D1">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0E654D" w:rsidRPr="00707478" w:rsidRDefault="004410D1" w:rsidP="005C5B68">
            <w:pPr>
              <w:jc w:val="right"/>
              <w:rPr>
                <w:rFonts w:ascii="Calibri" w:hAnsi="Calibri"/>
                <w:sz w:val="20"/>
                <w:szCs w:val="20"/>
                <w:lang w:val="sr-Latn-BA" w:eastAsia="sr-Latn-BA"/>
              </w:rPr>
            </w:pPr>
            <w:r>
              <w:rPr>
                <w:rFonts w:ascii="Calibri" w:hAnsi="Calibri"/>
                <w:sz w:val="20"/>
                <w:szCs w:val="20"/>
                <w:lang w:val="sr-Latn-BA" w:eastAsia="sr-Latn-BA"/>
              </w:rPr>
              <w:t>0,01</w:t>
            </w:r>
            <w:r w:rsidR="000E654D" w:rsidRPr="004410D1">
              <w:rPr>
                <w:rFonts w:ascii="Calibri" w:hAnsi="Calibri"/>
                <w:sz w:val="20"/>
                <w:szCs w:val="20"/>
                <w:lang w:val="sr-Latn-BA" w:eastAsia="sr-Latn-BA"/>
              </w:rPr>
              <w:t>%</w:t>
            </w:r>
          </w:p>
        </w:tc>
      </w:tr>
      <w:tr w:rsidR="000E654D" w:rsidRPr="00707478" w:rsidTr="005C5B68">
        <w:trPr>
          <w:trHeight w:val="318"/>
        </w:trPr>
        <w:tc>
          <w:tcPr>
            <w:tcW w:w="3640" w:type="dxa"/>
            <w:tcBorders>
              <w:top w:val="nil"/>
              <w:left w:val="nil"/>
              <w:bottom w:val="nil"/>
              <w:right w:val="nil"/>
            </w:tcBorders>
            <w:shd w:val="clear" w:color="000000" w:fill="FFFFFF"/>
            <w:vAlign w:val="center"/>
            <w:hideMark/>
          </w:tcPr>
          <w:p w:rsidR="000E654D" w:rsidRPr="00707478" w:rsidRDefault="000E654D" w:rsidP="005C5B6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0E654D" w:rsidRPr="00707478" w:rsidRDefault="004410D1" w:rsidP="005C5B68">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0</w:t>
            </w:r>
            <w:r w:rsidR="000E654D" w:rsidRPr="00707478">
              <w:rPr>
                <w:rFonts w:ascii="Calibri" w:hAnsi="Calibri"/>
                <w:color w:val="000000"/>
                <w:sz w:val="20"/>
                <w:szCs w:val="20"/>
                <w:lang w:val="sr-Latn-BA" w:eastAsia="sr-Latn-BA"/>
              </w:rPr>
              <w:t xml:space="preserve"> </w:t>
            </w:r>
          </w:p>
        </w:tc>
        <w:tc>
          <w:tcPr>
            <w:tcW w:w="1400" w:type="dxa"/>
            <w:tcBorders>
              <w:top w:val="nil"/>
              <w:left w:val="nil"/>
              <w:bottom w:val="nil"/>
              <w:right w:val="nil"/>
            </w:tcBorders>
            <w:shd w:val="clear" w:color="000000" w:fill="FFFFFF"/>
            <w:vAlign w:val="center"/>
            <w:hideMark/>
          </w:tcPr>
          <w:p w:rsidR="000E654D" w:rsidRPr="00707478" w:rsidRDefault="000E654D" w:rsidP="005C5B6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0E654D" w:rsidRPr="00707478" w:rsidRDefault="000E654D" w:rsidP="005C5B6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0E654D" w:rsidRPr="00707478" w:rsidTr="005C5B68">
        <w:trPr>
          <w:trHeight w:val="326"/>
        </w:trPr>
        <w:tc>
          <w:tcPr>
            <w:tcW w:w="3640" w:type="dxa"/>
            <w:tcBorders>
              <w:top w:val="nil"/>
              <w:left w:val="nil"/>
              <w:bottom w:val="nil"/>
              <w:right w:val="nil"/>
            </w:tcBorders>
            <w:shd w:val="clear" w:color="000000" w:fill="FFFFFF"/>
            <w:noWrap/>
            <w:vAlign w:val="bottom"/>
            <w:hideMark/>
          </w:tcPr>
          <w:p w:rsidR="000E654D" w:rsidRPr="00707478" w:rsidRDefault="000E654D" w:rsidP="005C5B68">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A74E5F">
              <w:rPr>
                <w:rFonts w:ascii="Calibri" w:hAnsi="Calibri"/>
                <w:b/>
                <w:bCs/>
                <w:sz w:val="20"/>
                <w:szCs w:val="20"/>
                <w:lang w:val="sr-Latn-BA" w:eastAsia="sr-Latn-BA"/>
              </w:rPr>
              <w:t>. decembra 2018</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0E654D" w:rsidRPr="00707478" w:rsidRDefault="004410D1" w:rsidP="005C5B68">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335.038,76</w:t>
            </w:r>
            <w:r w:rsidR="000E654D"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0E654D" w:rsidRPr="00707478" w:rsidRDefault="000E654D" w:rsidP="005C5B6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0E654D" w:rsidRPr="00707478" w:rsidRDefault="000E654D" w:rsidP="005C5B6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0E654D" w:rsidRDefault="000E654D"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654D" w:rsidRDefault="000E654D"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654D" w:rsidRDefault="000E654D"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t>DEPOZITI I PLASMANI</w:t>
      </w:r>
      <w:bookmarkEnd w:id="28"/>
    </w:p>
    <w:tbl>
      <w:tblPr>
        <w:tblW w:w="9000" w:type="dxa"/>
        <w:tblInd w:w="99" w:type="dxa"/>
        <w:tblLook w:val="04A0"/>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B5782" w:rsidP="000E3CC9">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0E3CC9" w:rsidRPr="000E3CC9" w:rsidRDefault="007B5782" w:rsidP="000E3CC9">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7B5782" w:rsidRPr="000E3CC9" w:rsidTr="000E3CC9">
        <w:trPr>
          <w:trHeight w:val="310"/>
        </w:trPr>
        <w:tc>
          <w:tcPr>
            <w:tcW w:w="4600" w:type="dxa"/>
            <w:tcBorders>
              <w:top w:val="nil"/>
              <w:left w:val="nil"/>
              <w:bottom w:val="nil"/>
              <w:right w:val="nil"/>
            </w:tcBorders>
            <w:shd w:val="clear" w:color="000000" w:fill="FFFFFF"/>
            <w:noWrap/>
            <w:vAlign w:val="bottom"/>
            <w:hideMark/>
          </w:tcPr>
          <w:p w:rsidR="007B5782" w:rsidRPr="000E3CC9" w:rsidRDefault="006A2277" w:rsidP="000E3CC9">
            <w:pPr>
              <w:rPr>
                <w:rFonts w:ascii="Calibri" w:hAnsi="Calibri"/>
                <w:color w:val="000000"/>
                <w:lang w:val="sr-Latn-BA" w:eastAsia="sr-Latn-BA"/>
              </w:rPr>
            </w:pPr>
            <w:r>
              <w:rPr>
                <w:rFonts w:ascii="Calibri" w:hAnsi="Calibri"/>
                <w:color w:val="000000"/>
                <w:lang w:val="sr-Latn-BA" w:eastAsia="sr-Latn-BA"/>
              </w:rPr>
              <w:t>Intesa</w:t>
            </w:r>
            <w:r w:rsidR="00584D5D">
              <w:rPr>
                <w:rFonts w:ascii="Calibri" w:hAnsi="Calibri"/>
                <w:color w:val="000000"/>
                <w:lang w:val="sr-Latn-BA" w:eastAsia="sr-Latn-BA"/>
              </w:rPr>
              <w:t xml:space="preserve"> </w:t>
            </w:r>
            <w:r>
              <w:rPr>
                <w:rFonts w:ascii="Calibri" w:hAnsi="Calibri"/>
                <w:color w:val="000000"/>
                <w:lang w:val="sr-Latn-BA" w:eastAsia="sr-Latn-BA"/>
              </w:rPr>
              <w:t>sanpaolo bank dd, Sarajevo</w:t>
            </w:r>
          </w:p>
        </w:tc>
        <w:tc>
          <w:tcPr>
            <w:tcW w:w="2360" w:type="dxa"/>
            <w:tcBorders>
              <w:top w:val="nil"/>
              <w:left w:val="nil"/>
              <w:bottom w:val="nil"/>
              <w:right w:val="nil"/>
            </w:tcBorders>
            <w:shd w:val="clear" w:color="000000" w:fill="FFFFFF"/>
            <w:noWrap/>
            <w:vAlign w:val="bottom"/>
            <w:hideMark/>
          </w:tcPr>
          <w:p w:rsidR="007B5782" w:rsidRPr="00E530E7" w:rsidRDefault="006A2277" w:rsidP="006A2277">
            <w:pPr>
              <w:jc w:val="right"/>
              <w:rPr>
                <w:rFonts w:ascii="Calibri" w:hAnsi="Calibri"/>
                <w:color w:val="000000"/>
                <w:lang w:val="sr-Latn-BA" w:eastAsia="sr-Latn-BA"/>
              </w:rPr>
            </w:pPr>
            <w:r w:rsidRPr="00E530E7">
              <w:rPr>
                <w:rFonts w:ascii="Calibri" w:hAnsi="Calibri"/>
                <w:color w:val="000000"/>
                <w:lang w:val="sr-Latn-BA" w:eastAsia="sr-Latn-BA"/>
              </w:rPr>
              <w:t>770.000,00</w:t>
            </w:r>
            <w:r w:rsidR="007B5782"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7B5782" w:rsidRPr="000E3CC9" w:rsidRDefault="006A2277" w:rsidP="006A2277">
            <w:pPr>
              <w:jc w:val="right"/>
              <w:rPr>
                <w:rFonts w:ascii="Calibri" w:hAnsi="Calibri"/>
                <w:color w:val="000000"/>
                <w:lang w:val="sr-Latn-BA" w:eastAsia="sr-Latn-BA"/>
              </w:rPr>
            </w:pPr>
            <w:r>
              <w:rPr>
                <w:rFonts w:ascii="Calibri" w:hAnsi="Calibri"/>
                <w:color w:val="000000"/>
                <w:lang w:val="sr-Latn-BA" w:eastAsia="sr-Latn-BA"/>
              </w:rPr>
              <w:t>-</w:t>
            </w:r>
            <w:r w:rsidR="007B5782" w:rsidRPr="000E3CC9">
              <w:rPr>
                <w:rFonts w:ascii="Calibri" w:hAnsi="Calibri"/>
                <w:color w:val="000000"/>
                <w:lang w:val="sr-Latn-BA" w:eastAsia="sr-Latn-BA"/>
              </w:rPr>
              <w:t xml:space="preserve">    </w:t>
            </w:r>
          </w:p>
        </w:tc>
      </w:tr>
      <w:tr w:rsidR="009B02A7" w:rsidRPr="000E3CC9" w:rsidTr="009B02A7">
        <w:trPr>
          <w:trHeight w:val="310"/>
        </w:trPr>
        <w:tc>
          <w:tcPr>
            <w:tcW w:w="4600" w:type="dxa"/>
            <w:tcBorders>
              <w:top w:val="nil"/>
              <w:left w:val="nil"/>
              <w:bottom w:val="nil"/>
              <w:right w:val="nil"/>
            </w:tcBorders>
            <w:shd w:val="clear" w:color="000000" w:fill="FFFFFF"/>
            <w:noWrap/>
            <w:vAlign w:val="bottom"/>
            <w:hideMark/>
          </w:tcPr>
          <w:p w:rsidR="009B02A7" w:rsidRPr="000E3CC9" w:rsidRDefault="006A2277" w:rsidP="009B02A7">
            <w:pPr>
              <w:rPr>
                <w:rFonts w:ascii="Calibri" w:hAnsi="Calibri"/>
                <w:color w:val="000000"/>
                <w:lang w:val="sr-Latn-BA" w:eastAsia="sr-Latn-BA"/>
              </w:rPr>
            </w:pPr>
            <w:r>
              <w:rPr>
                <w:rFonts w:ascii="Calibri" w:hAnsi="Calibri"/>
                <w:color w:val="000000"/>
                <w:lang w:val="sr-Latn-BA" w:eastAsia="sr-Latn-BA"/>
              </w:rPr>
              <w:t xml:space="preserve">MF Banka ad, Banja Luka </w:t>
            </w:r>
          </w:p>
        </w:tc>
        <w:tc>
          <w:tcPr>
            <w:tcW w:w="2360" w:type="dxa"/>
            <w:tcBorders>
              <w:top w:val="nil"/>
              <w:left w:val="nil"/>
              <w:bottom w:val="nil"/>
              <w:right w:val="nil"/>
            </w:tcBorders>
            <w:shd w:val="clear" w:color="000000" w:fill="FFFFFF"/>
            <w:noWrap/>
            <w:vAlign w:val="bottom"/>
            <w:hideMark/>
          </w:tcPr>
          <w:p w:rsidR="009B02A7" w:rsidRPr="00E530E7" w:rsidRDefault="006A2277" w:rsidP="006A2277">
            <w:pPr>
              <w:jc w:val="right"/>
              <w:rPr>
                <w:rFonts w:ascii="Calibri" w:hAnsi="Calibri"/>
                <w:color w:val="000000"/>
                <w:lang w:val="sr-Latn-BA" w:eastAsia="sr-Latn-BA"/>
              </w:rPr>
            </w:pPr>
            <w:r w:rsidRPr="00E530E7">
              <w:rPr>
                <w:rFonts w:ascii="Calibri" w:hAnsi="Calibri"/>
                <w:color w:val="000000"/>
                <w:lang w:val="sr-Latn-BA" w:eastAsia="sr-Latn-BA"/>
              </w:rPr>
              <w:t>770.000,00</w:t>
            </w:r>
            <w:r w:rsidR="009B02A7"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9B02A7" w:rsidRPr="000E3CC9" w:rsidRDefault="006A2277" w:rsidP="006A2277">
            <w:pPr>
              <w:jc w:val="right"/>
              <w:rPr>
                <w:rFonts w:ascii="Calibri" w:hAnsi="Calibri"/>
                <w:color w:val="000000"/>
                <w:lang w:val="sr-Latn-BA" w:eastAsia="sr-Latn-BA"/>
              </w:rPr>
            </w:pPr>
            <w:r>
              <w:rPr>
                <w:rFonts w:ascii="Calibri" w:hAnsi="Calibri"/>
                <w:color w:val="000000"/>
                <w:lang w:val="sr-Latn-BA" w:eastAsia="sr-Latn-BA"/>
              </w:rPr>
              <w:t>-</w:t>
            </w:r>
            <w:r w:rsidR="009B02A7" w:rsidRPr="000E3CC9">
              <w:rPr>
                <w:rFonts w:ascii="Calibri" w:hAnsi="Calibri"/>
                <w:color w:val="000000"/>
                <w:lang w:val="sr-Latn-BA" w:eastAsia="sr-Latn-BA"/>
              </w:rPr>
              <w:t xml:space="preserve">    </w:t>
            </w:r>
          </w:p>
        </w:tc>
      </w:tr>
      <w:tr w:rsidR="009B02A7" w:rsidRPr="000E3CC9" w:rsidTr="009B02A7">
        <w:trPr>
          <w:trHeight w:val="310"/>
        </w:trPr>
        <w:tc>
          <w:tcPr>
            <w:tcW w:w="4600" w:type="dxa"/>
            <w:tcBorders>
              <w:top w:val="nil"/>
              <w:left w:val="nil"/>
              <w:bottom w:val="nil"/>
              <w:right w:val="nil"/>
            </w:tcBorders>
            <w:shd w:val="clear" w:color="000000" w:fill="FFFFFF"/>
            <w:noWrap/>
            <w:vAlign w:val="bottom"/>
            <w:hideMark/>
          </w:tcPr>
          <w:p w:rsidR="009B02A7" w:rsidRPr="000E3CC9" w:rsidRDefault="006A2277" w:rsidP="009B02A7">
            <w:pPr>
              <w:rPr>
                <w:rFonts w:ascii="Calibri" w:hAnsi="Calibri"/>
                <w:color w:val="000000"/>
                <w:lang w:val="sr-Latn-BA" w:eastAsia="sr-Latn-BA"/>
              </w:rPr>
            </w:pPr>
            <w:r>
              <w:rPr>
                <w:rFonts w:ascii="Calibri" w:hAnsi="Calibri"/>
                <w:color w:val="000000"/>
                <w:lang w:val="sr-Latn-BA" w:eastAsia="sr-Latn-BA"/>
              </w:rPr>
              <w:t xml:space="preserve">Unicredit bank </w:t>
            </w:r>
            <w:r w:rsidR="00584D5D">
              <w:rPr>
                <w:rFonts w:ascii="Calibri" w:hAnsi="Calibri"/>
                <w:color w:val="000000"/>
                <w:lang w:val="sr-Latn-BA" w:eastAsia="sr-Latn-BA"/>
              </w:rPr>
              <w:t>ad</w:t>
            </w:r>
            <w:r>
              <w:rPr>
                <w:rFonts w:ascii="Calibri" w:hAnsi="Calibri"/>
                <w:color w:val="000000"/>
                <w:lang w:val="sr-Latn-BA" w:eastAsia="sr-Latn-BA"/>
              </w:rPr>
              <w:t xml:space="preserve">, Banja Luka </w:t>
            </w:r>
          </w:p>
        </w:tc>
        <w:tc>
          <w:tcPr>
            <w:tcW w:w="2360" w:type="dxa"/>
            <w:tcBorders>
              <w:top w:val="nil"/>
              <w:left w:val="nil"/>
              <w:bottom w:val="nil"/>
              <w:right w:val="nil"/>
            </w:tcBorders>
            <w:shd w:val="clear" w:color="000000" w:fill="FFFFFF"/>
            <w:noWrap/>
            <w:vAlign w:val="bottom"/>
            <w:hideMark/>
          </w:tcPr>
          <w:p w:rsidR="009B02A7" w:rsidRPr="00E530E7" w:rsidRDefault="006A2277" w:rsidP="006A2277">
            <w:pPr>
              <w:jc w:val="right"/>
              <w:rPr>
                <w:rFonts w:ascii="Calibri" w:hAnsi="Calibri"/>
                <w:color w:val="000000"/>
                <w:lang w:val="sr-Latn-BA" w:eastAsia="sr-Latn-BA"/>
              </w:rPr>
            </w:pPr>
            <w:r w:rsidRPr="00E530E7">
              <w:rPr>
                <w:rFonts w:ascii="Calibri" w:hAnsi="Calibri"/>
                <w:color w:val="000000"/>
                <w:lang w:val="sr-Latn-BA" w:eastAsia="sr-Latn-BA"/>
              </w:rPr>
              <w:t>770.000,00</w:t>
            </w:r>
            <w:r w:rsidR="009B02A7"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9B02A7" w:rsidRPr="000E3CC9" w:rsidRDefault="006A2277" w:rsidP="006A2277">
            <w:pPr>
              <w:jc w:val="right"/>
              <w:rPr>
                <w:rFonts w:ascii="Calibri" w:hAnsi="Calibri"/>
                <w:color w:val="000000"/>
                <w:lang w:val="sr-Latn-BA" w:eastAsia="sr-Latn-BA"/>
              </w:rPr>
            </w:pPr>
            <w:r>
              <w:rPr>
                <w:rFonts w:ascii="Calibri" w:hAnsi="Calibri"/>
                <w:color w:val="000000"/>
                <w:lang w:val="sr-Latn-BA" w:eastAsia="sr-Latn-BA"/>
              </w:rPr>
              <w:t>-</w:t>
            </w:r>
            <w:r w:rsidR="009B02A7" w:rsidRPr="000E3CC9">
              <w:rPr>
                <w:rFonts w:ascii="Calibri" w:hAnsi="Calibri"/>
                <w:color w:val="000000"/>
                <w:lang w:val="sr-Latn-BA" w:eastAsia="sr-Latn-BA"/>
              </w:rPr>
              <w:t xml:space="preserve">    </w:t>
            </w:r>
          </w:p>
        </w:tc>
      </w:tr>
      <w:tr w:rsidR="009B02A7" w:rsidRPr="000E3CC9" w:rsidTr="009B02A7">
        <w:trPr>
          <w:trHeight w:val="310"/>
        </w:trPr>
        <w:tc>
          <w:tcPr>
            <w:tcW w:w="4600" w:type="dxa"/>
            <w:tcBorders>
              <w:top w:val="nil"/>
              <w:left w:val="nil"/>
              <w:bottom w:val="nil"/>
              <w:right w:val="nil"/>
            </w:tcBorders>
            <w:shd w:val="clear" w:color="000000" w:fill="FFFFFF"/>
            <w:noWrap/>
            <w:vAlign w:val="bottom"/>
            <w:hideMark/>
          </w:tcPr>
          <w:p w:rsidR="009B02A7" w:rsidRPr="000E3CC9" w:rsidRDefault="009B02A7" w:rsidP="009B02A7">
            <w:pPr>
              <w:rPr>
                <w:rFonts w:ascii="Calibri" w:hAnsi="Calibri"/>
                <w:color w:val="000000"/>
                <w:lang w:val="sr-Latn-BA" w:eastAsia="sr-Latn-BA"/>
              </w:rPr>
            </w:pPr>
            <w:r w:rsidRPr="000E3CC9">
              <w:rPr>
                <w:rFonts w:ascii="Calibri" w:hAnsi="Calibri"/>
                <w:color w:val="000000"/>
                <w:lang w:val="sr-Latn-BA" w:eastAsia="sr-Latn-BA"/>
              </w:rPr>
              <w:t>Raiffeisen bank dd</w:t>
            </w:r>
            <w:r w:rsidR="00584D5D">
              <w:rPr>
                <w:rFonts w:ascii="Calibri" w:hAnsi="Calibri"/>
                <w:color w:val="000000"/>
                <w:lang w:val="sr-Latn-BA" w:eastAsia="sr-Latn-BA"/>
              </w:rPr>
              <w:t>,</w:t>
            </w:r>
            <w:r w:rsidRPr="000E3CC9">
              <w:rPr>
                <w:rFonts w:ascii="Calibri" w:hAnsi="Calibri"/>
                <w:color w:val="000000"/>
                <w:lang w:val="sr-Latn-BA" w:eastAsia="sr-Latn-BA"/>
              </w:rPr>
              <w:t xml:space="preserve">  Sarajevo</w:t>
            </w:r>
          </w:p>
        </w:tc>
        <w:tc>
          <w:tcPr>
            <w:tcW w:w="2360" w:type="dxa"/>
            <w:tcBorders>
              <w:top w:val="nil"/>
              <w:left w:val="nil"/>
              <w:bottom w:val="nil"/>
              <w:right w:val="nil"/>
            </w:tcBorders>
            <w:shd w:val="clear" w:color="000000" w:fill="FFFFFF"/>
            <w:noWrap/>
            <w:vAlign w:val="bottom"/>
            <w:hideMark/>
          </w:tcPr>
          <w:p w:rsidR="009B02A7" w:rsidRPr="00E530E7" w:rsidRDefault="006A2277" w:rsidP="006A2277">
            <w:pPr>
              <w:jc w:val="right"/>
              <w:rPr>
                <w:rFonts w:ascii="Calibri" w:hAnsi="Calibri"/>
                <w:color w:val="000000"/>
                <w:lang w:val="sr-Latn-BA" w:eastAsia="sr-Latn-BA"/>
              </w:rPr>
            </w:pPr>
            <w:r w:rsidRPr="00E530E7">
              <w:rPr>
                <w:rFonts w:ascii="Calibri" w:hAnsi="Calibri"/>
                <w:color w:val="000000"/>
                <w:lang w:val="sr-Latn-BA" w:eastAsia="sr-Latn-BA"/>
              </w:rPr>
              <w:t>732.767,22</w:t>
            </w:r>
            <w:r w:rsidR="009B02A7"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9B02A7" w:rsidRPr="000E3CC9" w:rsidRDefault="006A2277" w:rsidP="006A2277">
            <w:pPr>
              <w:jc w:val="right"/>
              <w:rPr>
                <w:rFonts w:ascii="Calibri" w:hAnsi="Calibri"/>
                <w:color w:val="000000"/>
                <w:lang w:val="sr-Latn-BA" w:eastAsia="sr-Latn-BA"/>
              </w:rPr>
            </w:pPr>
            <w:r>
              <w:rPr>
                <w:rFonts w:ascii="Calibri" w:hAnsi="Calibri"/>
                <w:color w:val="000000"/>
                <w:lang w:val="sr-Latn-BA" w:eastAsia="sr-Latn-BA"/>
              </w:rPr>
              <w:t>-</w:t>
            </w:r>
            <w:r w:rsidR="009B02A7" w:rsidRPr="000E3CC9">
              <w:rPr>
                <w:rFonts w:ascii="Calibri" w:hAnsi="Calibri"/>
                <w:color w:val="000000"/>
                <w:lang w:val="sr-Latn-BA" w:eastAsia="sr-Latn-BA"/>
              </w:rPr>
              <w:t xml:space="preserve">    </w:t>
            </w:r>
          </w:p>
        </w:tc>
      </w:tr>
      <w:tr w:rsidR="009B02A7" w:rsidRPr="000E3CC9" w:rsidTr="009B02A7">
        <w:trPr>
          <w:trHeight w:val="310"/>
        </w:trPr>
        <w:tc>
          <w:tcPr>
            <w:tcW w:w="4600" w:type="dxa"/>
            <w:tcBorders>
              <w:top w:val="nil"/>
              <w:left w:val="nil"/>
              <w:bottom w:val="nil"/>
              <w:right w:val="nil"/>
            </w:tcBorders>
            <w:shd w:val="clear" w:color="000000" w:fill="FFFFFF"/>
            <w:noWrap/>
            <w:vAlign w:val="bottom"/>
            <w:hideMark/>
          </w:tcPr>
          <w:p w:rsidR="009B02A7" w:rsidRPr="000E3CC9" w:rsidRDefault="006A2277" w:rsidP="009B02A7">
            <w:pPr>
              <w:rPr>
                <w:rFonts w:ascii="Calibri" w:hAnsi="Calibri"/>
                <w:color w:val="000000"/>
                <w:lang w:val="sr-Latn-BA" w:eastAsia="sr-Latn-BA"/>
              </w:rPr>
            </w:pPr>
            <w:r>
              <w:rPr>
                <w:rFonts w:ascii="Calibri" w:hAnsi="Calibri"/>
                <w:color w:val="000000"/>
                <w:lang w:val="sr-Latn-BA" w:eastAsia="sr-Latn-BA"/>
              </w:rPr>
              <w:t>Sparkasse bank</w:t>
            </w:r>
            <w:r w:rsidR="00584D5D">
              <w:rPr>
                <w:rFonts w:ascii="Calibri" w:hAnsi="Calibri"/>
                <w:color w:val="000000"/>
                <w:lang w:val="sr-Latn-BA" w:eastAsia="sr-Latn-BA"/>
              </w:rPr>
              <w:t xml:space="preserve"> dd BiH, Sarajevo </w:t>
            </w:r>
            <w:r>
              <w:rPr>
                <w:rFonts w:ascii="Calibri" w:hAnsi="Calibri"/>
                <w:color w:val="000000"/>
                <w:lang w:val="sr-Latn-BA" w:eastAsia="sr-Latn-BA"/>
              </w:rPr>
              <w:t xml:space="preserve"> </w:t>
            </w:r>
          </w:p>
        </w:tc>
        <w:tc>
          <w:tcPr>
            <w:tcW w:w="2360" w:type="dxa"/>
            <w:tcBorders>
              <w:top w:val="nil"/>
              <w:left w:val="nil"/>
              <w:bottom w:val="nil"/>
              <w:right w:val="nil"/>
            </w:tcBorders>
            <w:shd w:val="clear" w:color="000000" w:fill="FFFFFF"/>
            <w:noWrap/>
            <w:vAlign w:val="bottom"/>
            <w:hideMark/>
          </w:tcPr>
          <w:p w:rsidR="009B02A7" w:rsidRPr="00E530E7" w:rsidRDefault="006A2277" w:rsidP="006A2277">
            <w:pPr>
              <w:jc w:val="right"/>
              <w:rPr>
                <w:rFonts w:ascii="Calibri" w:hAnsi="Calibri"/>
                <w:color w:val="000000"/>
                <w:lang w:val="sr-Latn-BA" w:eastAsia="sr-Latn-BA"/>
              </w:rPr>
            </w:pPr>
            <w:r w:rsidRPr="00E530E7">
              <w:rPr>
                <w:rFonts w:ascii="Calibri" w:hAnsi="Calibri"/>
                <w:color w:val="000000"/>
                <w:lang w:val="sr-Latn-BA" w:eastAsia="sr-Latn-BA"/>
              </w:rPr>
              <w:t>500.000,00</w:t>
            </w:r>
            <w:r w:rsidR="009B02A7"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9B02A7" w:rsidRPr="000E3CC9" w:rsidRDefault="006A2277" w:rsidP="006A2277">
            <w:pPr>
              <w:jc w:val="right"/>
              <w:rPr>
                <w:rFonts w:ascii="Calibri" w:hAnsi="Calibri"/>
                <w:color w:val="000000"/>
                <w:lang w:val="sr-Latn-BA" w:eastAsia="sr-Latn-BA"/>
              </w:rPr>
            </w:pPr>
            <w:r>
              <w:rPr>
                <w:rFonts w:ascii="Calibri" w:hAnsi="Calibri"/>
                <w:color w:val="000000"/>
                <w:lang w:val="sr-Latn-BA" w:eastAsia="sr-Latn-BA"/>
              </w:rPr>
              <w:t>-</w:t>
            </w:r>
            <w:r w:rsidR="009B02A7" w:rsidRPr="000E3CC9">
              <w:rPr>
                <w:rFonts w:ascii="Calibri" w:hAnsi="Calibri"/>
                <w:color w:val="000000"/>
                <w:lang w:val="sr-Latn-BA" w:eastAsia="sr-Latn-BA"/>
              </w:rPr>
              <w:t xml:space="preserve">    </w:t>
            </w:r>
          </w:p>
        </w:tc>
      </w:tr>
      <w:tr w:rsidR="007B5782" w:rsidRPr="000E3CC9" w:rsidTr="000E3CC9">
        <w:trPr>
          <w:trHeight w:val="310"/>
        </w:trPr>
        <w:tc>
          <w:tcPr>
            <w:tcW w:w="4600" w:type="dxa"/>
            <w:tcBorders>
              <w:top w:val="nil"/>
              <w:left w:val="nil"/>
              <w:bottom w:val="nil"/>
              <w:right w:val="nil"/>
            </w:tcBorders>
            <w:shd w:val="clear" w:color="000000" w:fill="FFFFFF"/>
            <w:noWrap/>
            <w:vAlign w:val="bottom"/>
            <w:hideMark/>
          </w:tcPr>
          <w:p w:rsidR="007B5782" w:rsidRPr="000E3CC9" w:rsidRDefault="007B5782"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7B5782" w:rsidRPr="000E3CC9" w:rsidRDefault="007B5782"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7B5782" w:rsidRPr="000E3CC9" w:rsidRDefault="007B5782" w:rsidP="005C5B68">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7B5782" w:rsidRPr="000E3CC9" w:rsidTr="000E3CC9">
        <w:trPr>
          <w:trHeight w:val="370"/>
        </w:trPr>
        <w:tc>
          <w:tcPr>
            <w:tcW w:w="4600" w:type="dxa"/>
            <w:tcBorders>
              <w:top w:val="nil"/>
              <w:left w:val="nil"/>
              <w:bottom w:val="nil"/>
              <w:right w:val="nil"/>
            </w:tcBorders>
            <w:shd w:val="clear" w:color="000000" w:fill="FFFFFF"/>
            <w:noWrap/>
            <w:vAlign w:val="bottom"/>
            <w:hideMark/>
          </w:tcPr>
          <w:p w:rsidR="007B5782" w:rsidRPr="000E3CC9" w:rsidRDefault="007B5782" w:rsidP="000E3CC9">
            <w:pPr>
              <w:rPr>
                <w:rFonts w:ascii="Calibri" w:hAnsi="Calibri"/>
                <w:b/>
                <w:bCs/>
                <w:color w:val="000000"/>
                <w:lang w:val="sr-Latn-BA" w:eastAsia="sr-Latn-BA"/>
              </w:rPr>
            </w:pPr>
            <w:r>
              <w:rPr>
                <w:rFonts w:ascii="Calibri" w:hAnsi="Calibri"/>
                <w:b/>
                <w:bCs/>
                <w:color w:val="000000"/>
                <w:lang w:val="sr-Latn-BA" w:eastAsia="sr-Latn-BA"/>
              </w:rPr>
              <w:t>Stanje na dan 31. decembra 2018</w:t>
            </w:r>
          </w:p>
        </w:tc>
        <w:tc>
          <w:tcPr>
            <w:tcW w:w="2360" w:type="dxa"/>
            <w:tcBorders>
              <w:top w:val="nil"/>
              <w:left w:val="nil"/>
              <w:bottom w:val="nil"/>
              <w:right w:val="nil"/>
            </w:tcBorders>
            <w:shd w:val="clear" w:color="000000" w:fill="FFFFFF"/>
            <w:noWrap/>
            <w:vAlign w:val="bottom"/>
            <w:hideMark/>
          </w:tcPr>
          <w:p w:rsidR="007B5782" w:rsidRPr="000E3CC9" w:rsidRDefault="007B5782" w:rsidP="006A2277">
            <w:pPr>
              <w:jc w:val="right"/>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w:t>
            </w:r>
            <w:r w:rsidR="006A2277">
              <w:rPr>
                <w:rFonts w:ascii="Calibri" w:hAnsi="Calibri"/>
                <w:b/>
                <w:bCs/>
                <w:color w:val="000000"/>
                <w:u w:val="single"/>
                <w:lang w:val="sr-Latn-BA" w:eastAsia="sr-Latn-BA"/>
              </w:rPr>
              <w:t>3.542.767,22</w:t>
            </w:r>
            <w:r w:rsidRPr="000E3CC9">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7B5782" w:rsidRPr="000E3CC9" w:rsidRDefault="006A2277" w:rsidP="006A2277">
            <w:pPr>
              <w:jc w:val="right"/>
              <w:rPr>
                <w:rFonts w:ascii="Calibri" w:hAnsi="Calibri"/>
                <w:b/>
                <w:bCs/>
                <w:color w:val="000000"/>
                <w:u w:val="single"/>
                <w:lang w:val="sr-Latn-BA" w:eastAsia="sr-Latn-BA"/>
              </w:rPr>
            </w:pPr>
            <w:r>
              <w:rPr>
                <w:rFonts w:ascii="Calibri" w:hAnsi="Calibri"/>
                <w:b/>
                <w:bCs/>
                <w:color w:val="000000"/>
                <w:u w:val="single"/>
                <w:lang w:val="sr-Latn-BA" w:eastAsia="sr-Latn-BA"/>
              </w:rPr>
              <w:t>-</w:t>
            </w:r>
            <w:r w:rsidR="007B5782" w:rsidRPr="000E3CC9">
              <w:rPr>
                <w:rFonts w:ascii="Calibri" w:hAnsi="Calibri"/>
                <w:b/>
                <w:bCs/>
                <w:color w:val="000000"/>
                <w:u w:val="single"/>
                <w:lang w:val="sr-Latn-BA" w:eastAsia="sr-Latn-BA"/>
              </w:rPr>
              <w:t xml:space="preserve">    </w:t>
            </w:r>
          </w:p>
        </w:tc>
      </w:tr>
      <w:tr w:rsidR="007B5782" w:rsidRPr="000E3CC9" w:rsidTr="000E3CC9">
        <w:trPr>
          <w:trHeight w:val="370"/>
        </w:trPr>
        <w:tc>
          <w:tcPr>
            <w:tcW w:w="4600" w:type="dxa"/>
            <w:tcBorders>
              <w:top w:val="nil"/>
              <w:left w:val="nil"/>
              <w:bottom w:val="nil"/>
              <w:right w:val="nil"/>
            </w:tcBorders>
            <w:shd w:val="clear" w:color="000000" w:fill="FFFFFF"/>
            <w:noWrap/>
            <w:vAlign w:val="bottom"/>
          </w:tcPr>
          <w:p w:rsidR="007B5782" w:rsidRPr="000E3CC9" w:rsidRDefault="007B5782"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7B5782" w:rsidRPr="000E3CC9" w:rsidRDefault="007B5782"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7B5782" w:rsidRPr="000E3CC9" w:rsidRDefault="007B5782" w:rsidP="000E3CC9">
            <w:pPr>
              <w:rPr>
                <w:rFonts w:ascii="Calibri" w:hAnsi="Calibri"/>
                <w:b/>
                <w:bCs/>
                <w:color w:val="000000"/>
                <w:u w:val="single"/>
                <w:lang w:val="sr-Latn-BA" w:eastAsia="sr-Latn-BA"/>
              </w:rPr>
            </w:pPr>
          </w:p>
        </w:tc>
      </w:tr>
    </w:tbl>
    <w:p w:rsidR="00E530E7" w:rsidRPr="00A47E7E" w:rsidRDefault="00E530E7" w:rsidP="00E530E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9" w:name="_Toc506796521"/>
      <w:r w:rsidRPr="00A47E7E">
        <w:rPr>
          <w:rFonts w:ascii="Calibri" w:hAnsi="Calibri" w:cs="Calibri"/>
          <w:noProof/>
          <w:sz w:val="24"/>
          <w:szCs w:val="24"/>
        </w:rPr>
        <w:t>POTRAŽIVANJA PO OSNOVU DIVIDENDI</w:t>
      </w:r>
      <w:bookmarkEnd w:id="29"/>
    </w:p>
    <w:tbl>
      <w:tblPr>
        <w:tblW w:w="8300" w:type="dxa"/>
        <w:tblInd w:w="99" w:type="dxa"/>
        <w:tblLook w:val="04A0"/>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172631" w:rsidP="00F54DDC">
            <w:pPr>
              <w:jc w:val="center"/>
              <w:rPr>
                <w:rFonts w:ascii="Calibri" w:hAnsi="Calibri"/>
                <w:b/>
                <w:bCs/>
                <w:color w:val="000000"/>
                <w:lang w:val="sr-Latn-BA" w:eastAsia="sr-Latn-BA"/>
              </w:rPr>
            </w:pPr>
            <w:r>
              <w:rPr>
                <w:rFonts w:ascii="Calibri" w:hAnsi="Calibri"/>
                <w:b/>
                <w:bCs/>
                <w:color w:val="000000"/>
                <w:lang w:val="sr-Latn-BA" w:eastAsia="sr-Latn-BA"/>
              </w:rPr>
              <w:t>201</w:t>
            </w:r>
            <w:r w:rsidR="004F1008">
              <w:rPr>
                <w:rFonts w:ascii="Calibri" w:hAnsi="Calibri"/>
                <w:b/>
                <w:bCs/>
                <w:color w:val="000000"/>
                <w:lang w:val="sr-Latn-BA" w:eastAsia="sr-Latn-BA"/>
              </w:rPr>
              <w:t>8</w:t>
            </w:r>
          </w:p>
        </w:tc>
        <w:tc>
          <w:tcPr>
            <w:tcW w:w="2060" w:type="dxa"/>
            <w:tcBorders>
              <w:top w:val="nil"/>
              <w:left w:val="nil"/>
              <w:bottom w:val="nil"/>
              <w:right w:val="nil"/>
            </w:tcBorders>
            <w:shd w:val="clear" w:color="000000" w:fill="FFFFFF"/>
            <w:noWrap/>
            <w:vAlign w:val="bottom"/>
            <w:hideMark/>
          </w:tcPr>
          <w:p w:rsidR="00F54DDC" w:rsidRPr="00F54DDC" w:rsidRDefault="00172631" w:rsidP="00F54DDC">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172631" w:rsidRPr="00F54DDC" w:rsidTr="00F54DDC">
        <w:trPr>
          <w:trHeight w:val="310"/>
        </w:trPr>
        <w:tc>
          <w:tcPr>
            <w:tcW w:w="4060" w:type="dxa"/>
            <w:tcBorders>
              <w:top w:val="nil"/>
              <w:left w:val="nil"/>
              <w:bottom w:val="nil"/>
              <w:right w:val="nil"/>
            </w:tcBorders>
            <w:shd w:val="clear" w:color="000000" w:fill="FFFFFF"/>
            <w:vAlign w:val="center"/>
            <w:hideMark/>
          </w:tcPr>
          <w:p w:rsidR="00172631" w:rsidRPr="00F54DDC" w:rsidRDefault="00172631" w:rsidP="00F54DDC">
            <w:pPr>
              <w:rPr>
                <w:rFonts w:ascii="Calibri" w:hAnsi="Calibri"/>
                <w:color w:val="000000"/>
                <w:lang w:val="sr-Latn-BA" w:eastAsia="sr-Latn-BA"/>
              </w:rPr>
            </w:pPr>
          </w:p>
        </w:tc>
        <w:tc>
          <w:tcPr>
            <w:tcW w:w="2180" w:type="dxa"/>
            <w:tcBorders>
              <w:top w:val="nil"/>
              <w:left w:val="nil"/>
              <w:bottom w:val="nil"/>
              <w:right w:val="nil"/>
            </w:tcBorders>
            <w:shd w:val="clear" w:color="000000" w:fill="FFFFFF"/>
            <w:noWrap/>
            <w:vAlign w:val="bottom"/>
            <w:hideMark/>
          </w:tcPr>
          <w:p w:rsidR="00172631" w:rsidRPr="00F54DDC" w:rsidRDefault="00172631" w:rsidP="006A2277">
            <w:pPr>
              <w:jc w:val="right"/>
              <w:rPr>
                <w:rFonts w:ascii="Calibri" w:hAnsi="Calibri"/>
                <w:color w:val="000000"/>
                <w:lang w:val="sr-Latn-BA" w:eastAsia="sr-Latn-BA"/>
              </w:rPr>
            </w:pPr>
            <w:r w:rsidRPr="00F54DDC">
              <w:rPr>
                <w:rFonts w:ascii="Calibri" w:hAnsi="Calibri"/>
                <w:color w:val="000000"/>
                <w:lang w:val="sr-Latn-BA" w:eastAsia="sr-Latn-BA"/>
              </w:rPr>
              <w:t xml:space="preserve">     </w:t>
            </w:r>
            <w:r>
              <w:rPr>
                <w:rFonts w:ascii="Calibri" w:hAnsi="Calibri"/>
                <w:color w:val="000000"/>
                <w:lang w:val="sr-Latn-BA" w:eastAsia="sr-Latn-BA"/>
              </w:rPr>
              <w:t xml:space="preserve">             </w:t>
            </w:r>
            <w:r w:rsidR="006A2277">
              <w:rPr>
                <w:rFonts w:ascii="Calibri" w:hAnsi="Calibri"/>
                <w:color w:val="000000"/>
                <w:lang w:val="sr-Latn-BA" w:eastAsia="sr-Latn-BA"/>
              </w:rPr>
              <w:t>-</w:t>
            </w:r>
            <w:r w:rsidRPr="00F54DDC">
              <w:rPr>
                <w:rFonts w:ascii="Calibri" w:hAnsi="Calibri"/>
                <w:color w:val="000000"/>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172631" w:rsidRPr="00F54DDC" w:rsidRDefault="00172631" w:rsidP="006A2277">
            <w:pPr>
              <w:jc w:val="right"/>
              <w:rPr>
                <w:rFonts w:ascii="Calibri" w:hAnsi="Calibri"/>
                <w:color w:val="000000"/>
                <w:lang w:val="sr-Latn-BA" w:eastAsia="sr-Latn-BA"/>
              </w:rPr>
            </w:pPr>
            <w:r w:rsidRPr="00F54DDC">
              <w:rPr>
                <w:rFonts w:ascii="Calibri" w:hAnsi="Calibri"/>
                <w:color w:val="000000"/>
                <w:lang w:val="sr-Latn-BA" w:eastAsia="sr-Latn-BA"/>
              </w:rPr>
              <w:t xml:space="preserve">                  </w:t>
            </w:r>
            <w:r w:rsidR="006A2277">
              <w:rPr>
                <w:rFonts w:ascii="Calibri" w:hAnsi="Calibri"/>
                <w:color w:val="000000"/>
                <w:lang w:val="sr-Latn-BA" w:eastAsia="sr-Latn-BA"/>
              </w:rPr>
              <w:t>-</w:t>
            </w:r>
            <w:r w:rsidRPr="00F54DDC">
              <w:rPr>
                <w:rFonts w:ascii="Calibri" w:hAnsi="Calibri"/>
                <w:color w:val="000000"/>
                <w:lang w:val="sr-Latn-BA" w:eastAsia="sr-Latn-BA"/>
              </w:rPr>
              <w:t xml:space="preserve">    </w:t>
            </w:r>
          </w:p>
        </w:tc>
      </w:tr>
      <w:tr w:rsidR="00172631" w:rsidRPr="00F54DDC" w:rsidTr="00F54DDC">
        <w:trPr>
          <w:trHeight w:val="310"/>
        </w:trPr>
        <w:tc>
          <w:tcPr>
            <w:tcW w:w="4060" w:type="dxa"/>
            <w:tcBorders>
              <w:top w:val="nil"/>
              <w:left w:val="nil"/>
              <w:bottom w:val="nil"/>
              <w:right w:val="nil"/>
            </w:tcBorders>
            <w:shd w:val="clear" w:color="000000" w:fill="FFFFFF"/>
            <w:noWrap/>
            <w:vAlign w:val="bottom"/>
            <w:hideMark/>
          </w:tcPr>
          <w:p w:rsidR="00172631" w:rsidRPr="00F54DDC" w:rsidRDefault="00172631"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172631" w:rsidRPr="00F54DDC" w:rsidRDefault="00172631" w:rsidP="006A2277">
            <w:pPr>
              <w:jc w:val="right"/>
              <w:rPr>
                <w:rFonts w:ascii="Calibri" w:hAnsi="Calibri"/>
                <w:color w:val="000000"/>
                <w:lang w:val="sr-Latn-BA" w:eastAsia="sr-Latn-BA"/>
              </w:rPr>
            </w:pPr>
            <w:r w:rsidRPr="00F54DDC">
              <w:rPr>
                <w:rFonts w:ascii="Calibri" w:hAnsi="Calibri"/>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172631" w:rsidRPr="00F54DDC" w:rsidRDefault="00172631" w:rsidP="006A2277">
            <w:pPr>
              <w:jc w:val="right"/>
              <w:rPr>
                <w:rFonts w:ascii="Calibri" w:hAnsi="Calibri"/>
                <w:color w:val="000000"/>
                <w:lang w:val="sr-Latn-BA" w:eastAsia="sr-Latn-BA"/>
              </w:rPr>
            </w:pPr>
            <w:r w:rsidRPr="00F54DDC">
              <w:rPr>
                <w:rFonts w:ascii="Calibri" w:hAnsi="Calibri"/>
                <w:color w:val="000000"/>
                <w:lang w:val="sr-Latn-BA" w:eastAsia="sr-Latn-BA"/>
              </w:rPr>
              <w:t> </w:t>
            </w:r>
          </w:p>
        </w:tc>
      </w:tr>
      <w:tr w:rsidR="00172631" w:rsidRPr="00F54DDC" w:rsidTr="00F54DDC">
        <w:trPr>
          <w:trHeight w:val="370"/>
        </w:trPr>
        <w:tc>
          <w:tcPr>
            <w:tcW w:w="4060" w:type="dxa"/>
            <w:tcBorders>
              <w:top w:val="nil"/>
              <w:left w:val="nil"/>
              <w:bottom w:val="nil"/>
              <w:right w:val="nil"/>
            </w:tcBorders>
            <w:shd w:val="clear" w:color="000000" w:fill="FFFFFF"/>
            <w:noWrap/>
            <w:vAlign w:val="bottom"/>
            <w:hideMark/>
          </w:tcPr>
          <w:p w:rsidR="00172631" w:rsidRPr="00F54DDC" w:rsidRDefault="00172631" w:rsidP="00F54DDC">
            <w:pPr>
              <w:rPr>
                <w:rFonts w:ascii="Calibri" w:hAnsi="Calibri"/>
                <w:b/>
                <w:bCs/>
                <w:color w:val="000000"/>
                <w:lang w:val="sr-Latn-BA" w:eastAsia="sr-Latn-BA"/>
              </w:rPr>
            </w:pPr>
            <w:r>
              <w:rPr>
                <w:rFonts w:ascii="Calibri" w:hAnsi="Calibri"/>
                <w:b/>
                <w:bCs/>
                <w:color w:val="000000"/>
                <w:lang w:val="sr-Latn-BA" w:eastAsia="sr-Latn-BA"/>
              </w:rPr>
              <w:t>Stanje na dan 31. decembra 2018</w:t>
            </w:r>
          </w:p>
        </w:tc>
        <w:tc>
          <w:tcPr>
            <w:tcW w:w="2180" w:type="dxa"/>
            <w:tcBorders>
              <w:top w:val="nil"/>
              <w:left w:val="nil"/>
              <w:bottom w:val="nil"/>
              <w:right w:val="nil"/>
            </w:tcBorders>
            <w:shd w:val="clear" w:color="000000" w:fill="FFFFFF"/>
            <w:noWrap/>
            <w:vAlign w:val="bottom"/>
            <w:hideMark/>
          </w:tcPr>
          <w:p w:rsidR="00172631" w:rsidRPr="00F54DDC" w:rsidRDefault="006A2277" w:rsidP="006A2277">
            <w:pPr>
              <w:jc w:val="right"/>
              <w:rPr>
                <w:rFonts w:ascii="Calibri" w:hAnsi="Calibri"/>
                <w:b/>
                <w:bCs/>
                <w:color w:val="000000"/>
                <w:u w:val="single"/>
                <w:lang w:val="sr-Latn-BA" w:eastAsia="sr-Latn-BA"/>
              </w:rPr>
            </w:pPr>
            <w:r>
              <w:rPr>
                <w:rFonts w:ascii="Calibri" w:hAnsi="Calibri"/>
                <w:b/>
                <w:bCs/>
                <w:color w:val="000000"/>
                <w:u w:val="single"/>
                <w:lang w:val="sr-Latn-BA" w:eastAsia="sr-Latn-BA"/>
              </w:rPr>
              <w:t>-</w:t>
            </w:r>
            <w:r w:rsidR="00172631"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172631" w:rsidRPr="00F54DDC" w:rsidRDefault="006A2277" w:rsidP="006A2277">
            <w:pPr>
              <w:jc w:val="right"/>
              <w:rPr>
                <w:rFonts w:ascii="Calibri" w:hAnsi="Calibri"/>
                <w:b/>
                <w:bCs/>
                <w:color w:val="000000"/>
                <w:u w:val="single"/>
                <w:lang w:val="sr-Latn-BA" w:eastAsia="sr-Latn-BA"/>
              </w:rPr>
            </w:pPr>
            <w:r>
              <w:rPr>
                <w:rFonts w:ascii="Calibri" w:hAnsi="Calibri"/>
                <w:b/>
                <w:bCs/>
                <w:color w:val="000000"/>
                <w:u w:val="single"/>
                <w:lang w:val="sr-Latn-BA" w:eastAsia="sr-Latn-BA"/>
              </w:rPr>
              <w:t>-</w:t>
            </w:r>
            <w:r w:rsidR="00172631" w:rsidRPr="00F54DDC">
              <w:rPr>
                <w:rFonts w:ascii="Calibri" w:hAnsi="Calibri"/>
                <w:b/>
                <w:bCs/>
                <w:color w:val="000000"/>
                <w:u w:val="single"/>
                <w:lang w:val="sr-Latn-BA" w:eastAsia="sr-Latn-BA"/>
              </w:rPr>
              <w:t xml:space="preserve">                   </w:t>
            </w:r>
          </w:p>
        </w:tc>
      </w:tr>
    </w:tbl>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6A2277" w:rsidRPr="00A47E7E" w:rsidRDefault="006A2277" w:rsidP="006A2277">
      <w:pPr>
        <w:pStyle w:val="Heading1"/>
        <w:rPr>
          <w:rFonts w:ascii="Calibri" w:hAnsi="Calibri" w:cs="Calibri"/>
          <w:noProof/>
          <w:sz w:val="24"/>
          <w:szCs w:val="24"/>
        </w:rPr>
      </w:pPr>
      <w:r w:rsidRPr="00A47E7E">
        <w:rPr>
          <w:rFonts w:ascii="Calibri" w:hAnsi="Calibri" w:cs="Calibri"/>
          <w:noProof/>
          <w:sz w:val="24"/>
          <w:szCs w:val="24"/>
        </w:rPr>
        <w:t xml:space="preserve">POTRAŽIVANJA PO OSNOVU </w:t>
      </w:r>
      <w:r w:rsidR="006F4852">
        <w:rPr>
          <w:rFonts w:ascii="Calibri" w:hAnsi="Calibri" w:cs="Calibri"/>
          <w:noProof/>
          <w:sz w:val="24"/>
          <w:szCs w:val="24"/>
        </w:rPr>
        <w:t xml:space="preserve">KAMATA </w:t>
      </w:r>
    </w:p>
    <w:tbl>
      <w:tblPr>
        <w:tblW w:w="8300" w:type="dxa"/>
        <w:tblInd w:w="99" w:type="dxa"/>
        <w:tblLook w:val="04A0"/>
      </w:tblPr>
      <w:tblGrid>
        <w:gridCol w:w="4060"/>
        <w:gridCol w:w="2180"/>
        <w:gridCol w:w="2060"/>
      </w:tblGrid>
      <w:tr w:rsidR="006A2277" w:rsidRPr="00F54DDC" w:rsidTr="00DD142E">
        <w:trPr>
          <w:trHeight w:val="310"/>
        </w:trPr>
        <w:tc>
          <w:tcPr>
            <w:tcW w:w="4060" w:type="dxa"/>
            <w:tcBorders>
              <w:top w:val="nil"/>
              <w:left w:val="nil"/>
              <w:bottom w:val="nil"/>
              <w:right w:val="nil"/>
            </w:tcBorders>
            <w:shd w:val="clear" w:color="000000" w:fill="FFFFFF"/>
            <w:noWrap/>
            <w:vAlign w:val="bottom"/>
            <w:hideMark/>
          </w:tcPr>
          <w:p w:rsidR="006A2277" w:rsidRPr="00F54DDC" w:rsidRDefault="006A2277" w:rsidP="00DD142E">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6A2277" w:rsidRPr="00F54DDC" w:rsidRDefault="006A2277" w:rsidP="00DD142E">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60" w:type="dxa"/>
            <w:tcBorders>
              <w:top w:val="nil"/>
              <w:left w:val="nil"/>
              <w:bottom w:val="nil"/>
              <w:right w:val="nil"/>
            </w:tcBorders>
            <w:shd w:val="clear" w:color="000000" w:fill="FFFFFF"/>
            <w:noWrap/>
            <w:vAlign w:val="bottom"/>
            <w:hideMark/>
          </w:tcPr>
          <w:p w:rsidR="006A2277" w:rsidRPr="00F54DDC" w:rsidRDefault="006A2277" w:rsidP="00DD142E">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6A2277" w:rsidRPr="00F54DDC" w:rsidTr="00DD142E">
        <w:trPr>
          <w:trHeight w:val="310"/>
        </w:trPr>
        <w:tc>
          <w:tcPr>
            <w:tcW w:w="4060" w:type="dxa"/>
            <w:tcBorders>
              <w:top w:val="nil"/>
              <w:left w:val="nil"/>
              <w:bottom w:val="nil"/>
              <w:right w:val="nil"/>
            </w:tcBorders>
            <w:shd w:val="clear" w:color="000000" w:fill="FFFFFF"/>
            <w:noWrap/>
            <w:vAlign w:val="bottom"/>
            <w:hideMark/>
          </w:tcPr>
          <w:p w:rsidR="006A2277" w:rsidRPr="00F54DDC" w:rsidRDefault="006A2277" w:rsidP="00DD142E">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6A2277" w:rsidRPr="00F54DDC" w:rsidRDefault="006A2277" w:rsidP="00DD142E">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6A2277" w:rsidRPr="00F54DDC" w:rsidRDefault="006A2277" w:rsidP="00DD142E">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6A2277" w:rsidRPr="00F54DDC" w:rsidTr="00DD142E">
        <w:trPr>
          <w:trHeight w:val="310"/>
        </w:trPr>
        <w:tc>
          <w:tcPr>
            <w:tcW w:w="4060" w:type="dxa"/>
            <w:tcBorders>
              <w:top w:val="nil"/>
              <w:left w:val="nil"/>
              <w:bottom w:val="nil"/>
              <w:right w:val="nil"/>
            </w:tcBorders>
            <w:shd w:val="clear" w:color="000000" w:fill="FFFFFF"/>
            <w:vAlign w:val="center"/>
            <w:hideMark/>
          </w:tcPr>
          <w:p w:rsidR="006A2277" w:rsidRPr="00F54DDC" w:rsidRDefault="006F4852" w:rsidP="00DD142E">
            <w:pPr>
              <w:rPr>
                <w:rFonts w:ascii="Calibri" w:hAnsi="Calibri"/>
                <w:color w:val="000000"/>
                <w:lang w:val="sr-Latn-BA" w:eastAsia="sr-Latn-BA"/>
              </w:rPr>
            </w:pPr>
            <w:r>
              <w:rPr>
                <w:rFonts w:ascii="Calibri" w:hAnsi="Calibri"/>
                <w:color w:val="000000"/>
                <w:lang w:val="sr-Latn-BA" w:eastAsia="sr-Latn-BA"/>
              </w:rPr>
              <w:t xml:space="preserve">Kamata – dugoročni depozit </w:t>
            </w:r>
          </w:p>
        </w:tc>
        <w:tc>
          <w:tcPr>
            <w:tcW w:w="2180" w:type="dxa"/>
            <w:tcBorders>
              <w:top w:val="nil"/>
              <w:left w:val="nil"/>
              <w:bottom w:val="nil"/>
              <w:right w:val="nil"/>
            </w:tcBorders>
            <w:shd w:val="clear" w:color="000000" w:fill="FFFFFF"/>
            <w:noWrap/>
            <w:vAlign w:val="bottom"/>
            <w:hideMark/>
          </w:tcPr>
          <w:p w:rsidR="006A2277" w:rsidRPr="00F54DDC" w:rsidRDefault="006F4852" w:rsidP="00DD142E">
            <w:pPr>
              <w:jc w:val="right"/>
              <w:rPr>
                <w:rFonts w:ascii="Calibri" w:hAnsi="Calibri"/>
                <w:color w:val="000000"/>
                <w:lang w:val="sr-Latn-BA" w:eastAsia="sr-Latn-BA"/>
              </w:rPr>
            </w:pPr>
            <w:r>
              <w:rPr>
                <w:rFonts w:ascii="Calibri" w:hAnsi="Calibri"/>
                <w:color w:val="000000"/>
                <w:lang w:val="sr-Latn-BA" w:eastAsia="sr-Latn-BA"/>
              </w:rPr>
              <w:t>822,55</w:t>
            </w:r>
          </w:p>
        </w:tc>
        <w:tc>
          <w:tcPr>
            <w:tcW w:w="2060" w:type="dxa"/>
            <w:tcBorders>
              <w:top w:val="nil"/>
              <w:left w:val="nil"/>
              <w:bottom w:val="nil"/>
              <w:right w:val="nil"/>
            </w:tcBorders>
            <w:shd w:val="clear" w:color="000000" w:fill="FFFFFF"/>
            <w:noWrap/>
            <w:vAlign w:val="bottom"/>
            <w:hideMark/>
          </w:tcPr>
          <w:p w:rsidR="006A2277" w:rsidRPr="00F54DDC" w:rsidRDefault="006A2277" w:rsidP="00DD142E">
            <w:pPr>
              <w:jc w:val="right"/>
              <w:rPr>
                <w:rFonts w:ascii="Calibri" w:hAnsi="Calibri"/>
                <w:color w:val="000000"/>
                <w:lang w:val="sr-Latn-BA" w:eastAsia="sr-Latn-BA"/>
              </w:rPr>
            </w:pPr>
            <w:r w:rsidRPr="00F54DDC">
              <w:rPr>
                <w:rFonts w:ascii="Calibri" w:hAnsi="Calibri"/>
                <w:color w:val="000000"/>
                <w:lang w:val="sr-Latn-BA" w:eastAsia="sr-Latn-BA"/>
              </w:rPr>
              <w:t xml:space="preserve">                  </w:t>
            </w:r>
            <w:r>
              <w:rPr>
                <w:rFonts w:ascii="Calibri" w:hAnsi="Calibri"/>
                <w:color w:val="000000"/>
                <w:lang w:val="sr-Latn-BA" w:eastAsia="sr-Latn-BA"/>
              </w:rPr>
              <w:t>-</w:t>
            </w:r>
            <w:r w:rsidRPr="00F54DDC">
              <w:rPr>
                <w:rFonts w:ascii="Calibri" w:hAnsi="Calibri"/>
                <w:color w:val="000000"/>
                <w:lang w:val="sr-Latn-BA" w:eastAsia="sr-Latn-BA"/>
              </w:rPr>
              <w:t xml:space="preserve">    </w:t>
            </w:r>
          </w:p>
        </w:tc>
      </w:tr>
      <w:tr w:rsidR="006A2277" w:rsidRPr="00F54DDC" w:rsidTr="00DD142E">
        <w:trPr>
          <w:trHeight w:val="310"/>
        </w:trPr>
        <w:tc>
          <w:tcPr>
            <w:tcW w:w="4060" w:type="dxa"/>
            <w:tcBorders>
              <w:top w:val="nil"/>
              <w:left w:val="nil"/>
              <w:bottom w:val="nil"/>
              <w:right w:val="nil"/>
            </w:tcBorders>
            <w:shd w:val="clear" w:color="000000" w:fill="FFFFFF"/>
            <w:noWrap/>
            <w:vAlign w:val="bottom"/>
            <w:hideMark/>
          </w:tcPr>
          <w:p w:rsidR="006A2277" w:rsidRPr="00F54DDC" w:rsidRDefault="006A2277" w:rsidP="00DD142E">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6A2277" w:rsidRPr="00F54DDC" w:rsidRDefault="006A2277" w:rsidP="00DD142E">
            <w:pPr>
              <w:jc w:val="right"/>
              <w:rPr>
                <w:rFonts w:ascii="Calibri" w:hAnsi="Calibri"/>
                <w:color w:val="000000"/>
                <w:lang w:val="sr-Latn-BA" w:eastAsia="sr-Latn-BA"/>
              </w:rPr>
            </w:pPr>
            <w:r w:rsidRPr="00F54DDC">
              <w:rPr>
                <w:rFonts w:ascii="Calibri" w:hAnsi="Calibri"/>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6A2277" w:rsidRPr="00F54DDC" w:rsidRDefault="006A2277" w:rsidP="00DD142E">
            <w:pPr>
              <w:jc w:val="right"/>
              <w:rPr>
                <w:rFonts w:ascii="Calibri" w:hAnsi="Calibri"/>
                <w:color w:val="000000"/>
                <w:lang w:val="sr-Latn-BA" w:eastAsia="sr-Latn-BA"/>
              </w:rPr>
            </w:pPr>
            <w:r w:rsidRPr="00F54DDC">
              <w:rPr>
                <w:rFonts w:ascii="Calibri" w:hAnsi="Calibri"/>
                <w:color w:val="000000"/>
                <w:lang w:val="sr-Latn-BA" w:eastAsia="sr-Latn-BA"/>
              </w:rPr>
              <w:t> </w:t>
            </w:r>
          </w:p>
        </w:tc>
      </w:tr>
      <w:tr w:rsidR="006A2277" w:rsidRPr="00F54DDC" w:rsidTr="00DD142E">
        <w:trPr>
          <w:trHeight w:val="370"/>
        </w:trPr>
        <w:tc>
          <w:tcPr>
            <w:tcW w:w="4060" w:type="dxa"/>
            <w:tcBorders>
              <w:top w:val="nil"/>
              <w:left w:val="nil"/>
              <w:bottom w:val="nil"/>
              <w:right w:val="nil"/>
            </w:tcBorders>
            <w:shd w:val="clear" w:color="000000" w:fill="FFFFFF"/>
            <w:noWrap/>
            <w:vAlign w:val="bottom"/>
            <w:hideMark/>
          </w:tcPr>
          <w:p w:rsidR="006A2277" w:rsidRPr="00F54DDC" w:rsidRDefault="006A2277" w:rsidP="00DD142E">
            <w:pPr>
              <w:rPr>
                <w:rFonts w:ascii="Calibri" w:hAnsi="Calibri"/>
                <w:b/>
                <w:bCs/>
                <w:color w:val="000000"/>
                <w:lang w:val="sr-Latn-BA" w:eastAsia="sr-Latn-BA"/>
              </w:rPr>
            </w:pPr>
            <w:r>
              <w:rPr>
                <w:rFonts w:ascii="Calibri" w:hAnsi="Calibri"/>
                <w:b/>
                <w:bCs/>
                <w:color w:val="000000"/>
                <w:lang w:val="sr-Latn-BA" w:eastAsia="sr-Latn-BA"/>
              </w:rPr>
              <w:t>Stanje na dan 31. decembra 2018</w:t>
            </w:r>
          </w:p>
        </w:tc>
        <w:tc>
          <w:tcPr>
            <w:tcW w:w="2180" w:type="dxa"/>
            <w:tcBorders>
              <w:top w:val="nil"/>
              <w:left w:val="nil"/>
              <w:bottom w:val="nil"/>
              <w:right w:val="nil"/>
            </w:tcBorders>
            <w:shd w:val="clear" w:color="000000" w:fill="FFFFFF"/>
            <w:noWrap/>
            <w:vAlign w:val="bottom"/>
            <w:hideMark/>
          </w:tcPr>
          <w:p w:rsidR="006A2277" w:rsidRPr="00F54DDC" w:rsidRDefault="006F4852" w:rsidP="00DD142E">
            <w:pPr>
              <w:jc w:val="right"/>
              <w:rPr>
                <w:rFonts w:ascii="Calibri" w:hAnsi="Calibri"/>
                <w:b/>
                <w:bCs/>
                <w:color w:val="000000"/>
                <w:u w:val="single"/>
                <w:lang w:val="sr-Latn-BA" w:eastAsia="sr-Latn-BA"/>
              </w:rPr>
            </w:pPr>
            <w:r>
              <w:rPr>
                <w:rFonts w:ascii="Calibri" w:hAnsi="Calibri"/>
                <w:b/>
                <w:bCs/>
                <w:color w:val="000000"/>
                <w:u w:val="single"/>
                <w:lang w:val="sr-Latn-BA" w:eastAsia="sr-Latn-BA"/>
              </w:rPr>
              <w:t>822,55</w:t>
            </w:r>
            <w:r w:rsidR="006A2277"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6A2277" w:rsidRPr="00F54DDC" w:rsidRDefault="006A2277" w:rsidP="00DD142E">
            <w:pPr>
              <w:jc w:val="right"/>
              <w:rPr>
                <w:rFonts w:ascii="Calibri" w:hAnsi="Calibri"/>
                <w:b/>
                <w:bCs/>
                <w:color w:val="000000"/>
                <w:u w:val="single"/>
                <w:lang w:val="sr-Latn-BA" w:eastAsia="sr-Latn-BA"/>
              </w:rPr>
            </w:pPr>
            <w:r>
              <w:rPr>
                <w:rFonts w:ascii="Calibri" w:hAnsi="Calibri"/>
                <w:b/>
                <w:bCs/>
                <w:color w:val="000000"/>
                <w:u w:val="single"/>
                <w:lang w:val="sr-Latn-BA" w:eastAsia="sr-Latn-BA"/>
              </w:rPr>
              <w:t>-</w:t>
            </w:r>
            <w:r w:rsidRPr="00F54DDC">
              <w:rPr>
                <w:rFonts w:ascii="Calibri" w:hAnsi="Calibri"/>
                <w:b/>
                <w:bCs/>
                <w:color w:val="000000"/>
                <w:u w:val="single"/>
                <w:lang w:val="sr-Latn-BA" w:eastAsia="sr-Latn-BA"/>
              </w:rPr>
              <w:t xml:space="preserve">                   </w:t>
            </w:r>
          </w:p>
        </w:tc>
      </w:tr>
    </w:tbl>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0" w:name="_Toc506796522"/>
      <w:r w:rsidRPr="00A47E7E">
        <w:rPr>
          <w:rFonts w:ascii="Calibri" w:hAnsi="Calibri" w:cs="Calibri"/>
          <w:noProof/>
          <w:sz w:val="24"/>
          <w:szCs w:val="24"/>
        </w:rPr>
        <w:t>OBAVEZE PREMA DRUŠTVU ZA UPRAVLJANJE</w:t>
      </w:r>
      <w:bookmarkEnd w:id="30"/>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Obaveza</w:t>
      </w:r>
      <w:r w:rsidR="00DB0524">
        <w:rPr>
          <w:rFonts w:ascii="Calibri" w:eastAsia="Arial Unicode MS" w:hAnsi="Calibri" w:cs="Calibri"/>
          <w:noProof/>
          <w:lang w:val="sr-Latn-CS"/>
        </w:rPr>
        <w:t xml:space="preserve"> prema Društvu na dan 31.12.2018</w:t>
      </w:r>
      <w:r w:rsidRPr="00A47E7E">
        <w:rPr>
          <w:rFonts w:ascii="Calibri" w:eastAsia="Arial Unicode MS" w:hAnsi="Calibri" w:cs="Calibri"/>
          <w:noProof/>
          <w:lang w:val="sr-Latn-CS"/>
        </w:rPr>
        <w:t xml:space="preserve">. godine iznose </w:t>
      </w:r>
      <w:r w:rsidR="006F4852">
        <w:rPr>
          <w:rFonts w:ascii="Calibri" w:eastAsia="Arial Unicode MS" w:hAnsi="Calibri" w:cs="Calibri"/>
          <w:noProof/>
          <w:lang w:val="sr-Latn-CS"/>
        </w:rPr>
        <w:t>9.205,22</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odnose </w:t>
      </w:r>
      <w:r w:rsidR="00DB0524" w:rsidRPr="00A47E7E">
        <w:rPr>
          <w:rFonts w:ascii="Calibri" w:eastAsia="Arial Unicode MS" w:hAnsi="Calibri" w:cs="Calibri"/>
          <w:noProof/>
          <w:lang w:val="sr-Latn-CS"/>
        </w:rPr>
        <w:t xml:space="preserve">se </w:t>
      </w:r>
      <w:r w:rsidR="00DB55A5" w:rsidRPr="00A47E7E">
        <w:rPr>
          <w:rFonts w:ascii="Calibri" w:eastAsia="Arial Unicode MS" w:hAnsi="Calibri" w:cs="Calibri"/>
          <w:noProof/>
          <w:lang w:val="sr-Latn-CS"/>
        </w:rPr>
        <w:t xml:space="preserve">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1" w:name="_Toc506796523"/>
      <w:r w:rsidRPr="00A47E7E">
        <w:rPr>
          <w:rFonts w:ascii="Calibri" w:hAnsi="Calibri" w:cs="Calibri"/>
          <w:noProof/>
          <w:sz w:val="24"/>
          <w:szCs w:val="24"/>
        </w:rPr>
        <w:t>KAPITAL</w:t>
      </w:r>
      <w:bookmarkEnd w:id="31"/>
    </w:p>
    <w:p w:rsidR="003457FC" w:rsidRPr="00A47E7E" w:rsidRDefault="003457FC" w:rsidP="00F014B7">
      <w:pPr>
        <w:pStyle w:val="Heading2"/>
        <w:jc w:val="center"/>
        <w:rPr>
          <w:rFonts w:ascii="Calibri" w:hAnsi="Calibri" w:cs="Calibri"/>
          <w:noProof/>
          <w:sz w:val="24"/>
          <w:szCs w:val="24"/>
        </w:rPr>
      </w:pPr>
      <w:bookmarkStart w:id="32" w:name="_Toc506796524"/>
      <w:r w:rsidRPr="00A47E7E">
        <w:rPr>
          <w:rFonts w:ascii="Calibri" w:hAnsi="Calibri" w:cs="Calibri"/>
          <w:noProof/>
          <w:sz w:val="24"/>
          <w:szCs w:val="24"/>
        </w:rPr>
        <w:t>Osnovni kapital- udjeli</w:t>
      </w:r>
      <w:bookmarkEnd w:id="32"/>
    </w:p>
    <w:p w:rsidR="003457FC" w:rsidRPr="00A47E7E" w:rsidRDefault="003457FC" w:rsidP="003457FC">
      <w:pPr>
        <w:pStyle w:val="BodyTextIndent"/>
        <w:suppressAutoHyphens/>
        <w:ind w:left="0"/>
        <w:jc w:val="both"/>
        <w:rPr>
          <w:rFonts w:ascii="Calibri" w:hAnsi="Calibri" w:cs="Calibri"/>
          <w:noProof/>
        </w:rPr>
      </w:pPr>
    </w:p>
    <w:p w:rsidR="003457FC" w:rsidRPr="00F5446E" w:rsidRDefault="003457FC" w:rsidP="003457FC">
      <w:pPr>
        <w:pStyle w:val="BodyTextIndent"/>
        <w:suppressAutoHyphens/>
        <w:ind w:left="0"/>
        <w:jc w:val="both"/>
        <w:rPr>
          <w:rFonts w:ascii="Calibri" w:hAnsi="Calibri" w:cs="Calibri"/>
          <w:noProof/>
        </w:rPr>
      </w:pPr>
      <w:r w:rsidRPr="00F5446E">
        <w:rPr>
          <w:rFonts w:ascii="Calibri" w:hAnsi="Calibri" w:cs="Calibri"/>
          <w:noProof/>
        </w:rPr>
        <w:t xml:space="preserve">Osnivački kapital-udjeli Fonda je utvrđen </w:t>
      </w:r>
      <w:r w:rsidRPr="00F5446E">
        <w:rPr>
          <w:rFonts w:ascii="Calibri" w:hAnsi="Calibri" w:cs="Calibri"/>
          <w:lang w:val="hr-HR"/>
        </w:rPr>
        <w:t xml:space="preserve">u skladu sa Odlukom o </w:t>
      </w:r>
      <w:r w:rsidR="00F5446E" w:rsidRPr="00F5446E">
        <w:rPr>
          <w:rFonts w:ascii="Calibri" w:hAnsi="Calibri" w:cs="Calibri"/>
          <w:lang w:val="hr-HR"/>
        </w:rPr>
        <w:t>potpunom</w:t>
      </w:r>
      <w:r w:rsidRPr="00F5446E">
        <w:rPr>
          <w:rFonts w:ascii="Calibri" w:hAnsi="Calibri" w:cs="Calibri"/>
          <w:lang w:val="hr-HR"/>
        </w:rPr>
        <w:t xml:space="preserve"> preoblikovanju ZMIF-a u preoblikovanju </w:t>
      </w:r>
      <w:r w:rsidR="0060038D" w:rsidRPr="00F5446E">
        <w:rPr>
          <w:rFonts w:ascii="Calibri" w:hAnsi="Calibri" w:cs="Calibri"/>
          <w:lang w:val="hr-HR"/>
        </w:rPr>
        <w:t>Kristal invest</w:t>
      </w:r>
      <w:r w:rsidRPr="00F5446E">
        <w:rPr>
          <w:rFonts w:ascii="Calibri" w:hAnsi="Calibri" w:cs="Calibri"/>
          <w:lang w:val="hr-HR"/>
        </w:rPr>
        <w:t xml:space="preserve"> fond</w:t>
      </w:r>
      <w:r w:rsidR="0060038D" w:rsidRPr="00F5446E">
        <w:rPr>
          <w:rFonts w:ascii="Calibri" w:hAnsi="Calibri" w:cs="Calibri"/>
          <w:lang w:val="hr-HR"/>
        </w:rPr>
        <w:t>-a</w:t>
      </w:r>
      <w:r w:rsidRPr="00F5446E">
        <w:rPr>
          <w:rFonts w:ascii="Calibri" w:hAnsi="Calibri" w:cs="Calibri"/>
          <w:lang w:val="hr-HR"/>
        </w:rPr>
        <w:t xml:space="preserve"> ad Banja Luka (prečišćen tekst) broj </w:t>
      </w:r>
      <w:r w:rsidR="005C79C9">
        <w:rPr>
          <w:rFonts w:ascii="Calibri" w:hAnsi="Calibri" w:cs="Calibri"/>
          <w:lang w:val="hr-HR"/>
        </w:rPr>
        <w:t>220</w:t>
      </w:r>
      <w:r w:rsidR="0060038D" w:rsidRPr="00F5446E">
        <w:rPr>
          <w:rFonts w:ascii="Calibri" w:hAnsi="Calibri" w:cs="Calibri"/>
          <w:lang w:val="hr-HR"/>
        </w:rPr>
        <w:t>-</w:t>
      </w:r>
      <w:r w:rsidR="005C79C9" w:rsidRPr="005C79C9">
        <w:rPr>
          <w:rFonts w:ascii="Calibri" w:hAnsi="Calibri" w:cs="Calibri"/>
          <w:lang w:val="hr-HR"/>
        </w:rPr>
        <w:t>SKZMIF/18</w:t>
      </w:r>
      <w:r w:rsidR="0060038D" w:rsidRPr="005C79C9">
        <w:rPr>
          <w:rFonts w:ascii="Calibri" w:hAnsi="Calibri" w:cs="Calibri"/>
          <w:lang w:val="hr-HR"/>
        </w:rPr>
        <w:t xml:space="preserve"> od </w:t>
      </w:r>
      <w:r w:rsidR="005C79C9" w:rsidRPr="005C79C9">
        <w:rPr>
          <w:rFonts w:ascii="Calibri" w:hAnsi="Calibri" w:cs="Calibri"/>
          <w:lang w:val="hr-HR"/>
        </w:rPr>
        <w:t>29.06</w:t>
      </w:r>
      <w:r w:rsidRPr="005C79C9">
        <w:rPr>
          <w:rFonts w:ascii="Calibri" w:hAnsi="Calibri" w:cs="Calibri"/>
          <w:lang w:val="hr-HR"/>
        </w:rPr>
        <w:t>.201</w:t>
      </w:r>
      <w:r w:rsidR="005C79C9" w:rsidRPr="005C79C9">
        <w:rPr>
          <w:rFonts w:ascii="Calibri" w:hAnsi="Calibri" w:cs="Calibri"/>
          <w:lang w:val="hr-HR"/>
        </w:rPr>
        <w:t>8</w:t>
      </w:r>
      <w:r w:rsidRPr="00F5446E">
        <w:rPr>
          <w:rFonts w:ascii="Calibri" w:hAnsi="Calibri" w:cs="Calibri"/>
          <w:lang w:val="hr-HR"/>
        </w:rPr>
        <w:t xml:space="preserve"> u vrijednosti od </w:t>
      </w:r>
      <w:r w:rsidR="00F5446E">
        <w:rPr>
          <w:rFonts w:ascii="Calibri" w:hAnsi="Calibri" w:cs="Calibri"/>
          <w:lang w:val="hr-HR"/>
        </w:rPr>
        <w:t>3.819.322,39</w:t>
      </w:r>
      <w:r w:rsidRPr="00F5446E">
        <w:rPr>
          <w:rFonts w:ascii="Calibri" w:hAnsi="Calibri" w:cs="Calibri"/>
          <w:lang w:val="hr-HR"/>
        </w:rPr>
        <w:t xml:space="preserve"> Konvertibilnih maraka. </w:t>
      </w:r>
    </w:p>
    <w:p w:rsidR="003457FC" w:rsidRPr="00F5446E" w:rsidRDefault="003457FC" w:rsidP="003457FC">
      <w:pPr>
        <w:pStyle w:val="BodyTextIndent"/>
        <w:suppressAutoHyphens/>
        <w:ind w:left="0"/>
        <w:jc w:val="both"/>
        <w:rPr>
          <w:rFonts w:ascii="Calibri" w:hAnsi="Calibri" w:cs="Calibri"/>
          <w:noProof/>
        </w:rPr>
      </w:pPr>
      <w:r w:rsidRPr="00F5446E">
        <w:rPr>
          <w:rFonts w:ascii="Calibri" w:hAnsi="Calibri" w:cs="Calibri"/>
          <w:noProof/>
        </w:rPr>
        <w:t xml:space="preserve">Osnovni kapital je raspoređen na udjelničare tako da svakom udjelničaru pripada broj udjela srazmjezmjeran broju akcija u ZMIF-u </w:t>
      </w:r>
      <w:r w:rsidR="00DB0524" w:rsidRPr="00F5446E">
        <w:rPr>
          <w:rFonts w:ascii="Calibri" w:hAnsi="Calibri" w:cs="Calibri"/>
          <w:noProof/>
        </w:rPr>
        <w:t>Kristal invest f</w:t>
      </w:r>
      <w:r w:rsidRPr="00F5446E">
        <w:rPr>
          <w:rFonts w:ascii="Calibri" w:hAnsi="Calibri" w:cs="Calibri"/>
          <w:noProof/>
        </w:rPr>
        <w:t xml:space="preserve">ond ad Banja Luka na dan osnivanja otvorenog investicionog fonda </w:t>
      </w:r>
      <w:r w:rsidR="00F5446E">
        <w:rPr>
          <w:rFonts w:ascii="Calibri" w:hAnsi="Calibri" w:cs="Calibri"/>
          <w:noProof/>
        </w:rPr>
        <w:t>Cash</w:t>
      </w:r>
      <w:r w:rsidRPr="00F5446E">
        <w:rPr>
          <w:rFonts w:ascii="Calibri" w:hAnsi="Calibri" w:cs="Calibri"/>
          <w:noProof/>
        </w:rPr>
        <w:t xml:space="preserve"> Fund </w:t>
      </w:r>
      <w:r w:rsidR="00F5446E">
        <w:rPr>
          <w:rFonts w:ascii="Calibri" w:hAnsi="Calibri" w:cs="Calibri"/>
          <w:noProof/>
        </w:rPr>
        <w:t>23.11.2018</w:t>
      </w:r>
      <w:r w:rsidRPr="00F5446E">
        <w:rPr>
          <w:rFonts w:ascii="Calibri" w:hAnsi="Calibri" w:cs="Calibri"/>
          <w:noProof/>
        </w:rPr>
        <w:t>. godine</w:t>
      </w:r>
      <w:r w:rsidR="00347602" w:rsidRPr="00F5446E">
        <w:rPr>
          <w:rFonts w:ascii="Calibri" w:hAnsi="Calibri" w:cs="Calibri"/>
          <w:noProof/>
        </w:rPr>
        <w:t>,</w:t>
      </w:r>
      <w:r w:rsidRPr="00F5446E">
        <w:rPr>
          <w:rFonts w:ascii="Calibri" w:hAnsi="Calibri" w:cs="Calibri"/>
          <w:noProof/>
        </w:rPr>
        <w:t xml:space="preserve"> a na osnovu liste akcionara u Centralnom registru hartija od vrijednosti Republike Srpske.</w:t>
      </w:r>
    </w:p>
    <w:p w:rsidR="004F20F1" w:rsidRDefault="004F20F1" w:rsidP="004F20F1">
      <w:pPr>
        <w:pStyle w:val="BodyTextIndent"/>
        <w:suppressAutoHyphens/>
        <w:ind w:left="0"/>
        <w:jc w:val="both"/>
        <w:rPr>
          <w:rFonts w:ascii="Calibri" w:hAnsi="Calibri" w:cs="Calibri"/>
          <w:noProof/>
        </w:rPr>
      </w:pPr>
      <w:r w:rsidRPr="00F5446E">
        <w:rPr>
          <w:rFonts w:ascii="Calibri" w:hAnsi="Calibri" w:cs="Calibri"/>
          <w:noProof/>
        </w:rPr>
        <w:t xml:space="preserve">Na dan 31. decembra 2018. godine broj udjela iznosi </w:t>
      </w:r>
      <w:r w:rsidR="00F5446E">
        <w:rPr>
          <w:rFonts w:ascii="Calibri" w:hAnsi="Calibri" w:cs="Calibri"/>
          <w:noProof/>
        </w:rPr>
        <w:t>129.557.961</w:t>
      </w:r>
      <w:r w:rsidRPr="00F5446E">
        <w:rPr>
          <w:rFonts w:ascii="Calibri" w:hAnsi="Calibri" w:cs="Calibri"/>
          <w:noProof/>
        </w:rPr>
        <w:t>.</w:t>
      </w:r>
      <w:r w:rsidRPr="00A47E7E">
        <w:rPr>
          <w:rFonts w:ascii="Calibri" w:hAnsi="Calibri" w:cs="Calibri"/>
          <w:noProof/>
        </w:rPr>
        <w:t xml:space="preserve"> </w:t>
      </w:r>
    </w:p>
    <w:p w:rsidR="004F20F1" w:rsidRPr="00A47E7E" w:rsidRDefault="004F20F1" w:rsidP="009832DC">
      <w:pPr>
        <w:pStyle w:val="BodyTextIndent"/>
        <w:suppressAutoHyphens/>
        <w:ind w:left="0"/>
        <w:jc w:val="both"/>
        <w:rPr>
          <w:rFonts w:ascii="Calibri" w:hAnsi="Calibri" w:cs="Calibri"/>
          <w:noProof/>
        </w:rPr>
      </w:pP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3" w:name="_Toc506796525"/>
      <w:r w:rsidRPr="00A47E7E">
        <w:rPr>
          <w:rFonts w:ascii="Calibri" w:hAnsi="Calibri" w:cs="Calibri"/>
          <w:noProof/>
          <w:sz w:val="24"/>
          <w:szCs w:val="24"/>
        </w:rPr>
        <w:t>Revalorizacione rezerve po osnovu finansijskih sredstava raspoloživih za prodaju</w:t>
      </w:r>
      <w:bookmarkEnd w:id="33"/>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raspoloživih za prodaju na dan 31. decembra 201</w:t>
      </w:r>
      <w:r w:rsidR="00347602">
        <w:rPr>
          <w:rFonts w:ascii="Calibri" w:hAnsi="Calibri" w:cs="Calibri"/>
          <w:noProof/>
        </w:rPr>
        <w:t>8</w:t>
      </w:r>
      <w:r w:rsidRPr="00A47E7E">
        <w:rPr>
          <w:rFonts w:ascii="Calibri" w:hAnsi="Calibri" w:cs="Calibri"/>
          <w:noProof/>
        </w:rPr>
        <w:t xml:space="preserve">. godine iznose </w:t>
      </w:r>
      <w:r w:rsidR="002F3279">
        <w:rPr>
          <w:rFonts w:ascii="Calibri" w:hAnsi="Calibri" w:cs="Calibri"/>
          <w:noProof/>
        </w:rPr>
        <w:t>126.587</w:t>
      </w:r>
      <w:r w:rsidR="000C483E" w:rsidRPr="00A47E7E">
        <w:rPr>
          <w:rFonts w:ascii="Calibri" w:hAnsi="Calibri" w:cs="Calibri"/>
          <w:noProof/>
        </w:rPr>
        <w:t xml:space="preserve"> Konvertibilnih maraka</w:t>
      </w:r>
      <w:r w:rsidR="00F3182A">
        <w:rPr>
          <w:rFonts w:ascii="Calibri" w:hAnsi="Calibri" w:cs="Calibri"/>
          <w:noProof/>
        </w:rPr>
        <w:t xml:space="preserve"> </w:t>
      </w:r>
      <w:r w:rsidRPr="00A47E7E">
        <w:rPr>
          <w:rFonts w:ascii="Calibri" w:hAnsi="Calibri" w:cs="Calibri"/>
          <w:noProof/>
        </w:rPr>
        <w:t xml:space="preserve">i predstavljaju akumulirane nerealizovane </w:t>
      </w:r>
      <w:r w:rsidR="009108A3">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w:t>
      </w:r>
      <w:r w:rsidRPr="00A47E7E">
        <w:rPr>
          <w:rFonts w:ascii="Calibri" w:hAnsi="Calibri" w:cs="Calibri"/>
          <w:noProof/>
        </w:rPr>
        <w:lastRenderedPageBreak/>
        <w:t>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4"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4"/>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vrijednosti kroz bilans uspjeha na dan 31. decembra 201</w:t>
      </w:r>
      <w:r w:rsidR="004D1D79">
        <w:rPr>
          <w:rFonts w:ascii="Calibri" w:hAnsi="Calibri" w:cs="Calibri"/>
          <w:noProof/>
        </w:rPr>
        <w:t>8</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5" w:name="_Toc506796527"/>
      <w:r w:rsidRPr="00A47E7E">
        <w:rPr>
          <w:rFonts w:ascii="Calibri" w:hAnsi="Calibri" w:cs="Calibri"/>
          <w:noProof/>
          <w:sz w:val="24"/>
          <w:szCs w:val="24"/>
        </w:rPr>
        <w:t>ZARADA / (GUBITAK) PO UDJELU</w:t>
      </w:r>
      <w:bookmarkEnd w:id="35"/>
    </w:p>
    <w:tbl>
      <w:tblPr>
        <w:tblW w:w="8560" w:type="dxa"/>
        <w:tblInd w:w="99" w:type="dxa"/>
        <w:tblLook w:val="04A0"/>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C73B36">
            <w:pPr>
              <w:jc w:val="center"/>
              <w:rPr>
                <w:rFonts w:ascii="Calibri" w:hAnsi="Calibri"/>
                <w:b/>
                <w:bCs/>
                <w:color w:val="000000"/>
              </w:rPr>
            </w:pPr>
            <w:r>
              <w:rPr>
                <w:rFonts w:ascii="Calibri" w:hAnsi="Calibri"/>
                <w:b/>
                <w:bCs/>
                <w:color w:val="000000"/>
              </w:rPr>
              <w:t>2018</w:t>
            </w:r>
          </w:p>
        </w:tc>
        <w:tc>
          <w:tcPr>
            <w:tcW w:w="1360" w:type="dxa"/>
            <w:tcBorders>
              <w:top w:val="nil"/>
              <w:left w:val="nil"/>
              <w:bottom w:val="nil"/>
              <w:right w:val="nil"/>
            </w:tcBorders>
            <w:shd w:val="clear" w:color="000000" w:fill="FFFFFF"/>
            <w:noWrap/>
            <w:vAlign w:val="bottom"/>
            <w:hideMark/>
          </w:tcPr>
          <w:p w:rsidR="00121128" w:rsidRPr="0042069D" w:rsidRDefault="00C73B36" w:rsidP="0042069D">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9108A3" w:rsidRPr="0042069D" w:rsidTr="0042069D">
        <w:trPr>
          <w:trHeight w:val="585"/>
        </w:trPr>
        <w:tc>
          <w:tcPr>
            <w:tcW w:w="5160" w:type="dxa"/>
            <w:tcBorders>
              <w:top w:val="nil"/>
              <w:left w:val="nil"/>
              <w:bottom w:val="nil"/>
              <w:right w:val="nil"/>
            </w:tcBorders>
            <w:shd w:val="clear" w:color="000000" w:fill="FFFFFF"/>
            <w:vAlign w:val="center"/>
            <w:hideMark/>
          </w:tcPr>
          <w:p w:rsidR="009108A3" w:rsidRPr="0042069D" w:rsidRDefault="006F4852" w:rsidP="0042069D">
            <w:pPr>
              <w:rPr>
                <w:rFonts w:ascii="Calibri" w:hAnsi="Calibri"/>
                <w:color w:val="000000"/>
                <w:lang w:val="sr-Latn-BA" w:eastAsia="sr-Latn-BA"/>
              </w:rPr>
            </w:pPr>
            <w:r>
              <w:rPr>
                <w:rFonts w:ascii="Calibri" w:hAnsi="Calibri"/>
                <w:color w:val="000000"/>
                <w:lang w:val="sr-Latn-BA" w:eastAsia="sr-Latn-BA"/>
              </w:rPr>
              <w:t>Gubitak</w:t>
            </w:r>
            <w:r w:rsidR="004D1D79">
              <w:rPr>
                <w:rFonts w:ascii="Calibri" w:hAnsi="Calibri"/>
                <w:color w:val="000000"/>
                <w:lang w:val="sr-Latn-BA" w:eastAsia="sr-Latn-BA"/>
              </w:rPr>
              <w:t xml:space="preserve"> </w:t>
            </w:r>
            <w:r>
              <w:rPr>
                <w:rFonts w:ascii="Calibri" w:hAnsi="Calibri"/>
                <w:color w:val="000000"/>
                <w:lang w:val="sr-Latn-BA" w:eastAsia="sr-Latn-BA"/>
              </w:rPr>
              <w:t>/ (dob</w:t>
            </w:r>
            <w:r w:rsidR="009108A3" w:rsidRPr="0042069D">
              <w:rPr>
                <w:rFonts w:ascii="Calibri" w:hAnsi="Calibri"/>
                <w:color w:val="000000"/>
                <w:lang w:val="sr-Latn-BA" w:eastAsia="sr-Latn-BA"/>
              </w:rPr>
              <w:t xml:space="preserve">itak) obračunskog perioda </w:t>
            </w:r>
          </w:p>
        </w:tc>
        <w:tc>
          <w:tcPr>
            <w:tcW w:w="2040" w:type="dxa"/>
            <w:tcBorders>
              <w:top w:val="nil"/>
              <w:left w:val="nil"/>
              <w:bottom w:val="nil"/>
              <w:right w:val="nil"/>
            </w:tcBorders>
            <w:shd w:val="clear" w:color="000000" w:fill="FFFFFF"/>
            <w:noWrap/>
            <w:vAlign w:val="bottom"/>
            <w:hideMark/>
          </w:tcPr>
          <w:p w:rsidR="009108A3" w:rsidRDefault="009108A3" w:rsidP="006F4852">
            <w:pPr>
              <w:jc w:val="right"/>
              <w:rPr>
                <w:rFonts w:ascii="Calibri" w:hAnsi="Calibri"/>
                <w:color w:val="000000"/>
              </w:rPr>
            </w:pPr>
            <w:r>
              <w:rPr>
                <w:rFonts w:ascii="Calibri" w:hAnsi="Calibri"/>
                <w:color w:val="000000"/>
              </w:rPr>
              <w:t xml:space="preserve">             </w:t>
            </w:r>
            <w:r w:rsidR="006F4852">
              <w:rPr>
                <w:rFonts w:ascii="Calibri" w:hAnsi="Calibri"/>
                <w:color w:val="000000"/>
              </w:rPr>
              <w:t>26.172</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9108A3" w:rsidRPr="006F4852" w:rsidRDefault="009108A3" w:rsidP="006F4852">
            <w:pPr>
              <w:jc w:val="right"/>
              <w:rPr>
                <w:rFonts w:ascii="Calibri" w:hAnsi="Calibri"/>
                <w:color w:val="000000"/>
              </w:rPr>
            </w:pPr>
            <w:r w:rsidRPr="006F4852">
              <w:rPr>
                <w:rFonts w:ascii="Calibri" w:hAnsi="Calibri"/>
                <w:color w:val="000000"/>
              </w:rPr>
              <w:t xml:space="preserve">             </w:t>
            </w:r>
            <w:r w:rsidR="006F4852" w:rsidRPr="006F4852">
              <w:rPr>
                <w:rFonts w:ascii="Calibri" w:hAnsi="Calibri"/>
                <w:color w:val="000000"/>
              </w:rPr>
              <w:t>-</w:t>
            </w:r>
            <w:r w:rsidRPr="006F4852">
              <w:rPr>
                <w:rFonts w:ascii="Calibri" w:hAnsi="Calibri"/>
                <w:color w:val="000000"/>
              </w:rPr>
              <w:t xml:space="preserve">    </w:t>
            </w:r>
          </w:p>
        </w:tc>
      </w:tr>
      <w:tr w:rsidR="009108A3" w:rsidRPr="0042069D" w:rsidTr="0042069D">
        <w:trPr>
          <w:trHeight w:val="310"/>
        </w:trPr>
        <w:tc>
          <w:tcPr>
            <w:tcW w:w="5160" w:type="dxa"/>
            <w:tcBorders>
              <w:top w:val="nil"/>
              <w:left w:val="nil"/>
              <w:bottom w:val="nil"/>
              <w:right w:val="nil"/>
            </w:tcBorders>
            <w:shd w:val="clear" w:color="000000" w:fill="FFFFFF"/>
            <w:vAlign w:val="center"/>
            <w:hideMark/>
          </w:tcPr>
          <w:p w:rsidR="00C72D10" w:rsidRDefault="00C72D10" w:rsidP="0042069D">
            <w:pPr>
              <w:rPr>
                <w:rFonts w:ascii="Calibri" w:hAnsi="Calibri"/>
                <w:color w:val="000000"/>
                <w:lang w:val="sr-Latn-BA" w:eastAsia="sr-Latn-BA"/>
              </w:rPr>
            </w:pPr>
          </w:p>
          <w:p w:rsidR="009108A3" w:rsidRPr="0042069D" w:rsidRDefault="009108A3"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9108A3" w:rsidRDefault="009108A3" w:rsidP="006F4852">
            <w:pPr>
              <w:jc w:val="right"/>
              <w:rPr>
                <w:rFonts w:ascii="Calibri" w:hAnsi="Calibri"/>
                <w:color w:val="000000"/>
              </w:rPr>
            </w:pPr>
            <w:r>
              <w:rPr>
                <w:rFonts w:ascii="Calibri" w:hAnsi="Calibri"/>
                <w:color w:val="000000"/>
              </w:rPr>
              <w:t xml:space="preserve">          </w:t>
            </w:r>
            <w:r w:rsidR="006F4852">
              <w:rPr>
                <w:rFonts w:ascii="Calibri" w:hAnsi="Calibri"/>
                <w:color w:val="000000"/>
              </w:rPr>
              <w:t>129.557.961</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9108A3" w:rsidRDefault="009108A3" w:rsidP="006F4852">
            <w:pPr>
              <w:jc w:val="right"/>
              <w:rPr>
                <w:rFonts w:ascii="Calibri" w:hAnsi="Calibri"/>
                <w:color w:val="000000"/>
              </w:rPr>
            </w:pPr>
            <w:r>
              <w:rPr>
                <w:rFonts w:ascii="Calibri" w:hAnsi="Calibri"/>
                <w:color w:val="000000"/>
              </w:rPr>
              <w:t xml:space="preserve">          </w:t>
            </w:r>
            <w:r w:rsidR="006F4852">
              <w:rPr>
                <w:rFonts w:ascii="Calibri" w:hAnsi="Calibri"/>
                <w:color w:val="000000"/>
              </w:rPr>
              <w:t>-</w:t>
            </w:r>
          </w:p>
        </w:tc>
      </w:tr>
      <w:tr w:rsidR="009108A3" w:rsidRPr="0042069D" w:rsidTr="0042069D">
        <w:trPr>
          <w:trHeight w:val="310"/>
        </w:trPr>
        <w:tc>
          <w:tcPr>
            <w:tcW w:w="5160" w:type="dxa"/>
            <w:tcBorders>
              <w:top w:val="nil"/>
              <w:left w:val="nil"/>
              <w:bottom w:val="nil"/>
              <w:right w:val="nil"/>
            </w:tcBorders>
            <w:shd w:val="clear" w:color="000000" w:fill="FFFFFF"/>
            <w:noWrap/>
            <w:vAlign w:val="bottom"/>
            <w:hideMark/>
          </w:tcPr>
          <w:p w:rsidR="009108A3" w:rsidRPr="0042069D" w:rsidRDefault="009108A3"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9108A3" w:rsidRDefault="009108A3" w:rsidP="006F4852">
            <w:pPr>
              <w:jc w:val="right"/>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9108A3" w:rsidRDefault="009108A3" w:rsidP="006F4852">
            <w:pPr>
              <w:jc w:val="right"/>
              <w:rPr>
                <w:rFonts w:ascii="Calibri" w:hAnsi="Calibri"/>
                <w:color w:val="000000"/>
              </w:rPr>
            </w:pPr>
            <w:r>
              <w:rPr>
                <w:rFonts w:ascii="Calibri" w:hAnsi="Calibri"/>
                <w:color w:val="000000"/>
              </w:rPr>
              <w:t> </w:t>
            </w:r>
          </w:p>
        </w:tc>
      </w:tr>
      <w:tr w:rsidR="009108A3" w:rsidRPr="0042069D" w:rsidTr="0042069D">
        <w:trPr>
          <w:trHeight w:val="370"/>
        </w:trPr>
        <w:tc>
          <w:tcPr>
            <w:tcW w:w="5160" w:type="dxa"/>
            <w:tcBorders>
              <w:top w:val="nil"/>
              <w:left w:val="nil"/>
              <w:bottom w:val="nil"/>
              <w:right w:val="nil"/>
            </w:tcBorders>
            <w:shd w:val="clear" w:color="000000" w:fill="FFFFFF"/>
            <w:noWrap/>
            <w:vAlign w:val="bottom"/>
            <w:hideMark/>
          </w:tcPr>
          <w:p w:rsidR="009108A3" w:rsidRPr="0042069D" w:rsidRDefault="009108A3"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9108A3" w:rsidRDefault="004B2BF3" w:rsidP="006F4852">
            <w:pPr>
              <w:jc w:val="right"/>
              <w:rPr>
                <w:rFonts w:ascii="Calibri" w:hAnsi="Calibri"/>
                <w:b/>
                <w:bCs/>
                <w:color w:val="000000"/>
                <w:u w:val="single"/>
              </w:rPr>
            </w:pPr>
            <w:r>
              <w:rPr>
                <w:rFonts w:ascii="Calibri" w:hAnsi="Calibri"/>
                <w:b/>
                <w:bCs/>
                <w:color w:val="000000"/>
                <w:u w:val="single"/>
              </w:rPr>
              <w:t xml:space="preserve">                   </w:t>
            </w:r>
            <w:r w:rsidR="006F4852">
              <w:rPr>
                <w:rFonts w:ascii="Calibri" w:hAnsi="Calibri"/>
                <w:b/>
                <w:bCs/>
                <w:color w:val="000000"/>
                <w:u w:val="single"/>
              </w:rPr>
              <w:t>-0,0002</w:t>
            </w:r>
            <w:r w:rsidR="009108A3">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9108A3" w:rsidRDefault="004B2BF3" w:rsidP="006F4852">
            <w:pPr>
              <w:jc w:val="right"/>
              <w:rPr>
                <w:rFonts w:ascii="Calibri" w:hAnsi="Calibri"/>
                <w:b/>
                <w:bCs/>
                <w:color w:val="000000"/>
                <w:u w:val="single"/>
              </w:rPr>
            </w:pPr>
            <w:r>
              <w:rPr>
                <w:rFonts w:ascii="Calibri" w:hAnsi="Calibri"/>
                <w:b/>
                <w:bCs/>
                <w:color w:val="000000"/>
                <w:u w:val="single"/>
              </w:rPr>
              <w:t xml:space="preserve">                   </w:t>
            </w:r>
            <w:r w:rsidR="006F4852">
              <w:rPr>
                <w:rFonts w:ascii="Calibri" w:hAnsi="Calibri"/>
                <w:b/>
                <w:bCs/>
                <w:color w:val="000000"/>
                <w:u w:val="single"/>
              </w:rPr>
              <w:t>-</w:t>
            </w:r>
            <w:r w:rsidR="009108A3">
              <w:rPr>
                <w:rFonts w:ascii="Calibri" w:hAnsi="Calibri"/>
                <w:b/>
                <w:bCs/>
                <w:color w:val="000000"/>
                <w:u w:val="single"/>
              </w:rPr>
              <w:t xml:space="preserve">       </w:t>
            </w:r>
          </w:p>
        </w:tc>
      </w:tr>
      <w:tr w:rsidR="009108A3" w:rsidRPr="0042069D" w:rsidTr="0042069D">
        <w:trPr>
          <w:trHeight w:val="290"/>
        </w:trPr>
        <w:tc>
          <w:tcPr>
            <w:tcW w:w="5160" w:type="dxa"/>
            <w:tcBorders>
              <w:top w:val="nil"/>
              <w:left w:val="nil"/>
              <w:bottom w:val="nil"/>
              <w:right w:val="nil"/>
            </w:tcBorders>
            <w:shd w:val="clear" w:color="auto" w:fill="auto"/>
            <w:noWrap/>
            <w:vAlign w:val="bottom"/>
            <w:hideMark/>
          </w:tcPr>
          <w:p w:rsidR="009108A3" w:rsidRPr="0042069D" w:rsidRDefault="009108A3"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9108A3" w:rsidRDefault="009108A3">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9108A3" w:rsidRPr="0042069D" w:rsidRDefault="009108A3"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6" w:name="_Toc506796528"/>
      <w:r w:rsidRPr="00A47E7E">
        <w:rPr>
          <w:rFonts w:ascii="Calibri" w:hAnsi="Calibri" w:cs="Calibri"/>
          <w:noProof/>
          <w:sz w:val="24"/>
          <w:szCs w:val="24"/>
        </w:rPr>
        <w:t>TRANSAKCIJE SA POVEZANIM LICIMA</w:t>
      </w:r>
      <w:bookmarkEnd w:id="36"/>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B2BF3" w:rsidP="00121128">
            <w:pPr>
              <w:rPr>
                <w:rFonts w:ascii="Calibri" w:hAnsi="Calibri"/>
                <w:b/>
                <w:bCs/>
                <w:color w:val="000000"/>
                <w:lang w:val="sr-Latn-BA" w:eastAsia="sr-Latn-BA"/>
              </w:rPr>
            </w:pPr>
            <w:r>
              <w:rPr>
                <w:rFonts w:ascii="Calibri" w:hAnsi="Calibri"/>
                <w:b/>
                <w:bCs/>
                <w:color w:val="000000"/>
                <w:lang w:val="sr-Latn-BA" w:eastAsia="sr-Latn-BA"/>
              </w:rPr>
              <w:t>2018</w:t>
            </w:r>
          </w:p>
        </w:tc>
        <w:tc>
          <w:tcPr>
            <w:tcW w:w="1264" w:type="dxa"/>
            <w:tcBorders>
              <w:top w:val="nil"/>
              <w:left w:val="nil"/>
              <w:bottom w:val="nil"/>
              <w:right w:val="nil"/>
            </w:tcBorders>
            <w:shd w:val="clear" w:color="000000" w:fill="FFFFFF"/>
            <w:noWrap/>
            <w:vAlign w:val="bottom"/>
            <w:hideMark/>
          </w:tcPr>
          <w:p w:rsidR="0042069D" w:rsidRPr="0042069D" w:rsidRDefault="004B2BF3" w:rsidP="00121128">
            <w:pPr>
              <w:rPr>
                <w:rFonts w:ascii="Calibri" w:hAnsi="Calibri"/>
                <w:b/>
                <w:bCs/>
                <w:color w:val="000000"/>
                <w:lang w:val="sr-Latn-BA" w:eastAsia="sr-Latn-BA"/>
              </w:rPr>
            </w:pPr>
            <w:r>
              <w:rPr>
                <w:rFonts w:ascii="Calibri" w:hAnsi="Calibri"/>
                <w:b/>
                <w:bCs/>
                <w:color w:val="000000"/>
                <w:lang w:val="sr-Latn-BA" w:eastAsia="sr-Latn-BA"/>
              </w:rPr>
              <w:t>2017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B2BF3" w:rsidRPr="0042069D" w:rsidTr="0042069D">
        <w:trPr>
          <w:trHeight w:val="360"/>
        </w:trPr>
        <w:tc>
          <w:tcPr>
            <w:tcW w:w="6264" w:type="dxa"/>
            <w:tcBorders>
              <w:top w:val="nil"/>
              <w:left w:val="nil"/>
              <w:bottom w:val="nil"/>
              <w:right w:val="nil"/>
            </w:tcBorders>
            <w:shd w:val="clear" w:color="000000" w:fill="FFFFFF"/>
            <w:vAlign w:val="center"/>
            <w:hideMark/>
          </w:tcPr>
          <w:p w:rsidR="004B2BF3" w:rsidRPr="0042069D" w:rsidRDefault="004B2BF3" w:rsidP="0042069D">
            <w:pPr>
              <w:rPr>
                <w:rFonts w:ascii="Calibri" w:hAnsi="Calibri"/>
                <w:color w:val="000000"/>
                <w:lang w:val="sr-Latn-BA" w:eastAsia="sr-Latn-BA"/>
              </w:rPr>
            </w:pPr>
            <w:r w:rsidRPr="0042069D">
              <w:rPr>
                <w:rFonts w:ascii="Calibri" w:hAnsi="Calibri"/>
                <w:color w:val="000000"/>
                <w:lang w:val="sr-Latn-BA" w:eastAsia="sr-Latn-BA"/>
              </w:rPr>
              <w:t>Rashodi od provizija za upravljanje Fondom- Kristal Invest ad Banja Luka</w:t>
            </w:r>
          </w:p>
        </w:tc>
        <w:tc>
          <w:tcPr>
            <w:tcW w:w="1896" w:type="dxa"/>
            <w:tcBorders>
              <w:top w:val="nil"/>
              <w:left w:val="nil"/>
              <w:bottom w:val="nil"/>
              <w:right w:val="nil"/>
            </w:tcBorders>
            <w:shd w:val="clear" w:color="000000" w:fill="FFFFFF"/>
            <w:noWrap/>
            <w:vAlign w:val="bottom"/>
            <w:hideMark/>
          </w:tcPr>
          <w:p w:rsidR="004B2BF3" w:rsidRPr="0042069D" w:rsidRDefault="004B2BF3"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C72D10">
              <w:rPr>
                <w:rFonts w:ascii="Calibri" w:hAnsi="Calibri"/>
                <w:color w:val="000000"/>
                <w:lang w:val="sr-Latn-BA" w:eastAsia="sr-Latn-BA"/>
              </w:rPr>
              <w:t>11.582,58</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B2BF3" w:rsidRPr="0042069D" w:rsidRDefault="004B2BF3"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C72D10">
              <w:rPr>
                <w:rFonts w:ascii="Calibri" w:hAnsi="Calibri"/>
                <w:color w:val="000000"/>
                <w:lang w:val="sr-Latn-BA" w:eastAsia="sr-Latn-BA"/>
              </w:rPr>
              <w:t>-</w:t>
            </w:r>
            <w:r w:rsidRPr="0042069D">
              <w:rPr>
                <w:rFonts w:ascii="Calibri" w:hAnsi="Calibri"/>
                <w:color w:val="000000"/>
                <w:lang w:val="sr-Latn-BA" w:eastAsia="sr-Latn-BA"/>
              </w:rPr>
              <w:t xml:space="preserve">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4D1D79" w:rsidP="00C72D10">
            <w:pPr>
              <w:jc w:val="right"/>
              <w:rPr>
                <w:rFonts w:ascii="Calibri" w:hAnsi="Calibri"/>
                <w:color w:val="000000"/>
                <w:lang w:val="sr-Latn-BA" w:eastAsia="sr-Latn-BA"/>
              </w:rPr>
            </w:pPr>
            <w:r>
              <w:rPr>
                <w:rFonts w:ascii="Calibri" w:hAnsi="Calibri"/>
                <w:color w:val="000000"/>
                <w:lang w:val="sr-Latn-BA" w:eastAsia="sr-Latn-BA"/>
              </w:rPr>
              <w:t xml:space="preserve">                               118,87</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C72D10" w:rsidP="00C72D10">
            <w:pPr>
              <w:jc w:val="right"/>
              <w:rPr>
                <w:rFonts w:ascii="Calibri" w:hAnsi="Calibri"/>
                <w:color w:val="000000"/>
                <w:lang w:val="sr-Latn-BA" w:eastAsia="sr-Latn-BA"/>
              </w:rPr>
            </w:pPr>
            <w:r>
              <w:rPr>
                <w:rFonts w:ascii="Calibri" w:hAnsi="Calibri"/>
                <w:color w:val="000000"/>
                <w:lang w:val="sr-Latn-BA" w:eastAsia="sr-Latn-BA"/>
              </w:rPr>
              <w:t>-</w:t>
            </w:r>
          </w:p>
        </w:tc>
        <w:tc>
          <w:tcPr>
            <w:tcW w:w="1264"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C72D10">
            <w:pPr>
              <w:rPr>
                <w:rFonts w:ascii="Calibri" w:hAnsi="Calibri"/>
                <w:color w:val="000000"/>
                <w:lang w:val="sr-Latn-BA" w:eastAsia="sr-Latn-BA"/>
              </w:rPr>
            </w:pPr>
            <w:r w:rsidRPr="0042069D">
              <w:rPr>
                <w:rFonts w:ascii="Calibri" w:hAnsi="Calibri"/>
                <w:color w:val="000000"/>
                <w:lang w:val="sr-Latn-BA" w:eastAsia="sr-Latn-BA"/>
              </w:rPr>
              <w:lastRenderedPageBreak/>
              <w:t>Troškovi b</w:t>
            </w:r>
            <w:r w:rsidR="00C72D10">
              <w:rPr>
                <w:rFonts w:ascii="Calibri" w:hAnsi="Calibri"/>
                <w:color w:val="000000"/>
                <w:lang w:val="sr-Latn-BA" w:eastAsia="sr-Latn-BA"/>
              </w:rPr>
              <w:t>ankarske</w:t>
            </w:r>
            <w:r w:rsidRPr="0042069D">
              <w:rPr>
                <w:rFonts w:ascii="Calibri" w:hAnsi="Calibri"/>
                <w:color w:val="000000"/>
                <w:lang w:val="sr-Latn-BA" w:eastAsia="sr-Latn-BA"/>
              </w:rPr>
              <w:t xml:space="preserv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C72D10">
              <w:rPr>
                <w:rFonts w:ascii="Calibri" w:hAnsi="Calibri"/>
                <w:color w:val="000000"/>
                <w:lang w:val="sr-Latn-BA" w:eastAsia="sr-Latn-BA"/>
              </w:rPr>
              <w:t xml:space="preserve">             </w:t>
            </w:r>
            <w:r w:rsidR="004D1D79">
              <w:rPr>
                <w:rFonts w:ascii="Calibri" w:hAnsi="Calibri"/>
                <w:color w:val="000000"/>
                <w:lang w:val="sr-Latn-BA" w:eastAsia="sr-Latn-BA"/>
              </w:rPr>
              <w:t xml:space="preserve">                 63,20</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C72D10" w:rsidRPr="0042069D" w:rsidTr="0042069D">
        <w:trPr>
          <w:trHeight w:val="310"/>
        </w:trPr>
        <w:tc>
          <w:tcPr>
            <w:tcW w:w="6264" w:type="dxa"/>
            <w:tcBorders>
              <w:top w:val="nil"/>
              <w:left w:val="nil"/>
              <w:bottom w:val="nil"/>
              <w:right w:val="nil"/>
            </w:tcBorders>
            <w:shd w:val="clear" w:color="000000" w:fill="FFFFFF"/>
            <w:noWrap/>
            <w:vAlign w:val="bottom"/>
            <w:hideMark/>
          </w:tcPr>
          <w:p w:rsidR="00C72D10" w:rsidRPr="0042069D" w:rsidRDefault="00C72D10" w:rsidP="00C72D10">
            <w:pPr>
              <w:rPr>
                <w:rFonts w:ascii="Calibri" w:hAnsi="Calibri"/>
                <w:color w:val="000000"/>
                <w:lang w:val="sr-Latn-BA" w:eastAsia="sr-Latn-BA"/>
              </w:rPr>
            </w:pPr>
          </w:p>
        </w:tc>
        <w:tc>
          <w:tcPr>
            <w:tcW w:w="1896" w:type="dxa"/>
            <w:tcBorders>
              <w:top w:val="nil"/>
              <w:left w:val="nil"/>
              <w:bottom w:val="nil"/>
              <w:right w:val="nil"/>
            </w:tcBorders>
            <w:shd w:val="clear" w:color="000000" w:fill="FFFFFF"/>
            <w:noWrap/>
            <w:vAlign w:val="bottom"/>
            <w:hideMark/>
          </w:tcPr>
          <w:p w:rsidR="00C72D10" w:rsidRPr="0042069D" w:rsidRDefault="00C72D10" w:rsidP="00C72D10">
            <w:pPr>
              <w:jc w:val="right"/>
              <w:rPr>
                <w:rFonts w:ascii="Calibri" w:hAnsi="Calibri"/>
                <w:color w:val="000000"/>
                <w:lang w:val="sr-Latn-BA" w:eastAsia="sr-Latn-BA"/>
              </w:rPr>
            </w:pPr>
          </w:p>
        </w:tc>
        <w:tc>
          <w:tcPr>
            <w:tcW w:w="1264" w:type="dxa"/>
            <w:tcBorders>
              <w:top w:val="nil"/>
              <w:left w:val="nil"/>
              <w:bottom w:val="nil"/>
              <w:right w:val="nil"/>
            </w:tcBorders>
            <w:shd w:val="clear" w:color="000000" w:fill="FFFFFF"/>
            <w:noWrap/>
            <w:vAlign w:val="bottom"/>
            <w:hideMark/>
          </w:tcPr>
          <w:p w:rsidR="00C72D10" w:rsidRPr="0042069D" w:rsidRDefault="00C72D10" w:rsidP="00C72D10">
            <w:pPr>
              <w:jc w:val="right"/>
              <w:rPr>
                <w:rFonts w:ascii="Calibri" w:hAnsi="Calibri"/>
                <w:color w:val="000000"/>
                <w:lang w:val="sr-Latn-BA" w:eastAsia="sr-Latn-BA"/>
              </w:rPr>
            </w:pP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72D10">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C72D10">
              <w:rPr>
                <w:rFonts w:ascii="Calibri" w:hAnsi="Calibri"/>
                <w:color w:val="000000"/>
                <w:lang w:val="sr-Latn-BA" w:eastAsia="sr-Latn-BA"/>
              </w:rPr>
              <w:t>-</w:t>
            </w:r>
            <w:r w:rsidR="004B2BF3" w:rsidRPr="0042069D">
              <w:rPr>
                <w:rFonts w:ascii="Calibri" w:hAnsi="Calibri"/>
                <w:color w:val="000000"/>
                <w:lang w:val="sr-Latn-BA" w:eastAsia="sr-Latn-BA"/>
              </w:rPr>
              <w:t xml:space="preserve">    </w:t>
            </w:r>
            <w:r w:rsidR="004B2BF3">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9343CD">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9343CD">
              <w:rPr>
                <w:rFonts w:ascii="Calibri" w:hAnsi="Calibri"/>
                <w:b/>
                <w:bCs/>
                <w:color w:val="000000"/>
                <w:u w:val="single"/>
                <w:lang w:val="sr-Latn-BA" w:eastAsia="sr-Latn-BA"/>
              </w:rPr>
              <w:t>11.764,65</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B2BF3" w:rsidP="00C72D10">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C72D10">
              <w:rPr>
                <w:rFonts w:ascii="Calibri" w:hAnsi="Calibri"/>
                <w:b/>
                <w:bCs/>
                <w:color w:val="000000"/>
                <w:u w:val="single"/>
                <w:lang w:val="sr-Latn-BA" w:eastAsia="sr-Latn-BA"/>
              </w:rPr>
              <w:t>-</w:t>
            </w:r>
            <w:r w:rsidR="0042069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p w:rsidR="009343CD" w:rsidRDefault="009343CD" w:rsidP="0042069D">
            <w:pPr>
              <w:rPr>
                <w:rFonts w:ascii="Calibri" w:hAnsi="Calibri"/>
                <w:color w:val="000000"/>
                <w:sz w:val="22"/>
                <w:szCs w:val="22"/>
                <w:lang w:val="sr-Latn-BA" w:eastAsia="sr-Latn-BA"/>
              </w:rPr>
            </w:pPr>
          </w:p>
          <w:p w:rsidR="009343CD" w:rsidRDefault="009343CD" w:rsidP="0042069D">
            <w:pPr>
              <w:rPr>
                <w:rFonts w:ascii="Calibri" w:hAnsi="Calibri"/>
                <w:color w:val="000000"/>
                <w:sz w:val="22"/>
                <w:szCs w:val="22"/>
                <w:lang w:val="sr-Latn-BA" w:eastAsia="sr-Latn-BA"/>
              </w:rPr>
            </w:pPr>
          </w:p>
          <w:p w:rsidR="009343CD" w:rsidRDefault="009343CD" w:rsidP="0042069D">
            <w:pPr>
              <w:rPr>
                <w:rFonts w:ascii="Calibri" w:hAnsi="Calibri"/>
                <w:color w:val="000000"/>
                <w:sz w:val="22"/>
                <w:szCs w:val="22"/>
                <w:lang w:val="sr-Latn-BA" w:eastAsia="sr-Latn-BA"/>
              </w:rPr>
            </w:pPr>
          </w:p>
          <w:p w:rsidR="009343CD" w:rsidRPr="0042069D" w:rsidRDefault="009343C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B2BF3" w:rsidP="0042069D">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1264" w:type="dxa"/>
            <w:tcBorders>
              <w:top w:val="nil"/>
              <w:left w:val="nil"/>
              <w:bottom w:val="nil"/>
              <w:right w:val="nil"/>
            </w:tcBorders>
            <w:shd w:val="clear" w:color="000000" w:fill="FFFFFF"/>
            <w:noWrap/>
            <w:vAlign w:val="bottom"/>
            <w:hideMark/>
          </w:tcPr>
          <w:p w:rsidR="0042069D" w:rsidRPr="0042069D" w:rsidRDefault="004B2BF3" w:rsidP="0042069D">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E323E1">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E323E1">
              <w:rPr>
                <w:rFonts w:ascii="Calibri" w:hAnsi="Calibri"/>
                <w:color w:val="000000"/>
                <w:lang w:val="sr-Latn-BA" w:eastAsia="sr-Latn-BA"/>
              </w:rPr>
              <w:t>9.205,22</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E323E1" w:rsidP="00E323E1">
            <w:pPr>
              <w:jc w:val="right"/>
              <w:rPr>
                <w:rFonts w:ascii="Calibri" w:hAnsi="Calibri"/>
                <w:color w:val="000000"/>
                <w:lang w:val="sr-Latn-BA" w:eastAsia="sr-Latn-BA"/>
              </w:rPr>
            </w:pPr>
            <w:r>
              <w:rPr>
                <w:rFonts w:ascii="Calibri" w:hAnsi="Calibri"/>
                <w:color w:val="000000"/>
                <w:lang w:val="sr-Latn-BA" w:eastAsia="sr-Latn-BA"/>
              </w:rPr>
              <w:t>-</w:t>
            </w:r>
            <w:r w:rsidR="004B2BF3" w:rsidRPr="0042069D">
              <w:rPr>
                <w:rFonts w:ascii="Calibri" w:hAnsi="Calibri"/>
                <w:color w:val="000000"/>
                <w:lang w:val="sr-Latn-BA" w:eastAsia="sr-Latn-BA"/>
              </w:rPr>
              <w:t xml:space="preserve">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E323E1">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E323E1">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42069D" w:rsidRPr="0042069D" w:rsidRDefault="0042069D" w:rsidP="00E323E1">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E323E1">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E323E1">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E323E1">
              <w:rPr>
                <w:rFonts w:ascii="Calibri" w:hAnsi="Calibri"/>
                <w:b/>
                <w:bCs/>
                <w:color w:val="000000"/>
                <w:u w:val="single"/>
                <w:lang w:val="sr-Latn-BA" w:eastAsia="sr-Latn-BA"/>
              </w:rPr>
              <w:t>9.205,22</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E323E1" w:rsidP="00E323E1">
            <w:pPr>
              <w:jc w:val="right"/>
              <w:rPr>
                <w:rFonts w:ascii="Calibri" w:hAnsi="Calibri"/>
                <w:b/>
                <w:bCs/>
                <w:color w:val="000000"/>
                <w:u w:val="single"/>
                <w:lang w:val="sr-Latn-BA" w:eastAsia="sr-Latn-BA"/>
              </w:rPr>
            </w:pPr>
            <w:r>
              <w:rPr>
                <w:rFonts w:ascii="Calibri" w:hAnsi="Calibri"/>
                <w:b/>
                <w:bCs/>
                <w:color w:val="000000"/>
                <w:u w:val="single"/>
                <w:lang w:val="sr-Latn-BA" w:eastAsia="sr-Latn-BA"/>
              </w:rPr>
              <w:t>-</w:t>
            </w:r>
            <w:r w:rsidR="004B2BF3"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7" w:name="_Toc506645336"/>
      <w:bookmarkStart w:id="38" w:name="_Toc506796529"/>
      <w:r w:rsidRPr="00A47E7E">
        <w:rPr>
          <w:rFonts w:ascii="Calibri" w:hAnsi="Calibri" w:cs="Calibri"/>
          <w:noProof/>
          <w:sz w:val="24"/>
          <w:szCs w:val="24"/>
        </w:rPr>
        <w:t>SUDSKI SPOROVI</w:t>
      </w:r>
      <w:bookmarkEnd w:id="37"/>
      <w:bookmarkEnd w:id="38"/>
    </w:p>
    <w:p w:rsidR="00506680" w:rsidRDefault="00506680" w:rsidP="00752EAA">
      <w:pPr>
        <w:tabs>
          <w:tab w:val="left" w:pos="6555"/>
        </w:tabs>
        <w:rPr>
          <w:rFonts w:ascii="Calibri" w:hAnsi="Calibri"/>
          <w:highlight w:val="yellow"/>
          <w:lang w:val="sr-Latn-BA"/>
        </w:rPr>
      </w:pPr>
    </w:p>
    <w:p w:rsidR="00506680" w:rsidRDefault="00506680" w:rsidP="00506680">
      <w:pPr>
        <w:numPr>
          <w:ilvl w:val="0"/>
          <w:numId w:val="42"/>
        </w:numPr>
        <w:jc w:val="both"/>
        <w:rPr>
          <w:rFonts w:ascii="Calibri" w:hAnsi="Calibri"/>
          <w:lang w:val="sr-Latn-CS"/>
        </w:rPr>
      </w:pPr>
      <w:r w:rsidRPr="00584028">
        <w:rPr>
          <w:rFonts w:ascii="Calibri" w:hAnsi="Calibri" w:cs="Calibri"/>
          <w:noProof/>
        </w:rPr>
        <w:t xml:space="preserve">Na dan 31. decembra 2018. godine </w:t>
      </w:r>
      <w:r w:rsidRPr="00584028">
        <w:rPr>
          <w:rFonts w:ascii="Calibri" w:hAnsi="Calibri"/>
          <w:lang w:val="sr-Cyrl-CS"/>
        </w:rPr>
        <w:t>protiv</w:t>
      </w:r>
      <w:r w:rsidRPr="00DB7FA5">
        <w:rPr>
          <w:rFonts w:ascii="Calibri" w:hAnsi="Calibri"/>
          <w:lang w:val="sr-Cyrl-CS"/>
        </w:rPr>
        <w:t xml:space="preserve"> </w:t>
      </w:r>
      <w:r>
        <w:rPr>
          <w:rFonts w:ascii="Calibri" w:hAnsi="Calibri"/>
          <w:lang w:val="sr-Latn-CS"/>
        </w:rPr>
        <w:t>Otvorenog</w:t>
      </w:r>
      <w:r w:rsidRPr="00DB7FA5">
        <w:rPr>
          <w:rFonts w:ascii="Calibri" w:hAnsi="Calibri"/>
          <w:lang w:val="sr-Cyrl-CS"/>
        </w:rPr>
        <w:t xml:space="preserve"> </w:t>
      </w:r>
      <w:r>
        <w:rPr>
          <w:rFonts w:ascii="Calibri" w:hAnsi="Calibri"/>
          <w:lang w:val="sr-Latn-CS"/>
        </w:rPr>
        <w:t xml:space="preserve">novčanog </w:t>
      </w:r>
      <w:r w:rsidRPr="00DB7FA5">
        <w:rPr>
          <w:rFonts w:ascii="Calibri" w:hAnsi="Calibri"/>
          <w:lang w:val="sr-Cyrl-CS"/>
        </w:rPr>
        <w:t xml:space="preserve">investicionog fonda </w:t>
      </w:r>
      <w:r>
        <w:rPr>
          <w:rFonts w:ascii="Calibri" w:hAnsi="Calibri"/>
          <w:lang w:val="sr-Latn-CS"/>
        </w:rPr>
        <w:t>„Kristal cash plus fund</w:t>
      </w:r>
      <w:proofErr w:type="gramStart"/>
      <w:r>
        <w:rPr>
          <w:rFonts w:ascii="Calibri" w:hAnsi="Calibri"/>
          <w:lang w:val="sr-Latn-CS"/>
        </w:rPr>
        <w:t>“ se</w:t>
      </w:r>
      <w:proofErr w:type="gramEnd"/>
      <w:r w:rsidRPr="00DB7FA5">
        <w:rPr>
          <w:rFonts w:ascii="Calibri" w:hAnsi="Calibri"/>
          <w:lang w:val="sr-Cyrl-CS"/>
        </w:rPr>
        <w:t xml:space="preserve"> ne vode sudski sporovi, </w:t>
      </w:r>
      <w:r>
        <w:rPr>
          <w:rFonts w:ascii="Calibri" w:hAnsi="Calibri"/>
          <w:lang w:val="sr-Latn-CS"/>
        </w:rPr>
        <w:t>niti</w:t>
      </w:r>
      <w:r w:rsidRPr="00DB7FA5">
        <w:rPr>
          <w:rFonts w:ascii="Calibri" w:hAnsi="Calibri"/>
          <w:lang w:val="sr-Cyrl-CS"/>
        </w:rPr>
        <w:t xml:space="preserve"> Fond, koga zastupa Društvo za upra</w:t>
      </w:r>
      <w:r>
        <w:rPr>
          <w:rFonts w:ascii="Calibri" w:hAnsi="Calibri"/>
          <w:lang w:val="sr-Cyrl-CS"/>
        </w:rPr>
        <w:t>vljanje investicionim fondovima</w:t>
      </w:r>
      <w:r>
        <w:rPr>
          <w:rFonts w:ascii="Calibri" w:hAnsi="Calibri"/>
          <w:lang w:val="sr-Latn-CS"/>
        </w:rPr>
        <w:t xml:space="preserve"> </w:t>
      </w:r>
      <w:r w:rsidRPr="00DB7FA5">
        <w:rPr>
          <w:rFonts w:ascii="Calibri" w:hAnsi="Calibri"/>
          <w:lang w:val="sr-Cyrl-CS"/>
        </w:rPr>
        <w:t>„Kristal invest“ a.d. Banja Luka, vodi su</w:t>
      </w:r>
      <w:r>
        <w:rPr>
          <w:rFonts w:ascii="Calibri" w:hAnsi="Calibri"/>
          <w:lang w:val="sr-Cyrl-CS"/>
        </w:rPr>
        <w:t>dske sporove protiv trećih lica</w:t>
      </w:r>
      <w:r>
        <w:rPr>
          <w:rFonts w:ascii="Calibri" w:hAnsi="Calibri"/>
          <w:lang w:val="sr-Latn-CS"/>
        </w:rPr>
        <w:t>.</w:t>
      </w:r>
      <w:r w:rsidRPr="00DB7FA5">
        <w:rPr>
          <w:rFonts w:ascii="Calibri" w:hAnsi="Calibri"/>
          <w:lang w:val="sr-Cyrl-CS"/>
        </w:rPr>
        <w:t xml:space="preserve"> </w:t>
      </w:r>
    </w:p>
    <w:p w:rsidR="00506680" w:rsidRDefault="00506680" w:rsidP="00752EAA">
      <w:pPr>
        <w:tabs>
          <w:tab w:val="left" w:pos="6555"/>
        </w:tabs>
        <w:rPr>
          <w:rFonts w:ascii="Calibri" w:hAnsi="Calibri"/>
          <w:highlight w:val="yellow"/>
          <w:lang w:val="sr-Latn-BA"/>
        </w:rPr>
      </w:pPr>
    </w:p>
    <w:p w:rsidR="00752EAA" w:rsidRDefault="00752EAA"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highlight w:val="yellow"/>
        </w:rPr>
      </w:pP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9" w:name="_Toc506645337"/>
      <w:bookmarkStart w:id="40" w:name="_Toc506796530"/>
      <w:r w:rsidRPr="00A47E7E">
        <w:rPr>
          <w:rFonts w:ascii="Calibri" w:hAnsi="Calibri" w:cs="Calibri"/>
          <w:noProof/>
          <w:sz w:val="24"/>
          <w:szCs w:val="24"/>
        </w:rPr>
        <w:t>TEKUĆA EKONOMSKA SITUACIJA I NJEN UTICAJ NA POSLOVANJE</w:t>
      </w:r>
      <w:bookmarkEnd w:id="39"/>
      <w:bookmarkEnd w:id="40"/>
    </w:p>
    <w:p w:rsidR="00273248" w:rsidRDefault="00273248" w:rsidP="00273248"/>
    <w:p w:rsidR="00506680" w:rsidRPr="009C526F" w:rsidRDefault="00506680" w:rsidP="00506680">
      <w:pPr>
        <w:jc w:val="both"/>
        <w:rPr>
          <w:rFonts w:ascii="Calibri" w:hAnsi="Calibri" w:cs="Calibri"/>
        </w:rPr>
      </w:pPr>
      <w:r w:rsidRPr="009C526F">
        <w:rPr>
          <w:rFonts w:ascii="Calibri" w:hAnsi="Calibri" w:cs="Calibri"/>
        </w:rPr>
        <w:t xml:space="preserve">Fond je </w:t>
      </w:r>
      <w:proofErr w:type="spellStart"/>
      <w:r w:rsidRPr="009C526F">
        <w:rPr>
          <w:rFonts w:ascii="Calibri" w:hAnsi="Calibri" w:cs="Calibri"/>
        </w:rPr>
        <w:t>osnovan</w:t>
      </w:r>
      <w:proofErr w:type="spellEnd"/>
      <w:r w:rsidRPr="009C526F">
        <w:rPr>
          <w:rFonts w:ascii="Calibri" w:hAnsi="Calibri" w:cs="Calibri"/>
        </w:rPr>
        <w:t xml:space="preserve"> </w:t>
      </w:r>
      <w:proofErr w:type="spellStart"/>
      <w:r w:rsidRPr="009C526F">
        <w:rPr>
          <w:rFonts w:ascii="Calibri" w:hAnsi="Calibri" w:cs="Calibri"/>
        </w:rPr>
        <w:t>kao</w:t>
      </w:r>
      <w:proofErr w:type="spellEnd"/>
      <w:r w:rsidRPr="009C526F">
        <w:rPr>
          <w:rFonts w:ascii="Calibri" w:hAnsi="Calibri" w:cs="Calibri"/>
        </w:rPr>
        <w:t xml:space="preserve"> </w:t>
      </w:r>
      <w:proofErr w:type="spellStart"/>
      <w:r w:rsidRPr="009C526F">
        <w:rPr>
          <w:rFonts w:ascii="Calibri" w:hAnsi="Calibri" w:cs="Calibri"/>
        </w:rPr>
        <w:t>otvoreni</w:t>
      </w:r>
      <w:proofErr w:type="spellEnd"/>
      <w:r w:rsidRPr="009C526F">
        <w:rPr>
          <w:rFonts w:ascii="Calibri" w:hAnsi="Calibri" w:cs="Calibri"/>
        </w:rPr>
        <w:t xml:space="preserve"> </w:t>
      </w:r>
      <w:proofErr w:type="spellStart"/>
      <w:r w:rsidRPr="009C526F">
        <w:rPr>
          <w:rFonts w:ascii="Calibri" w:hAnsi="Calibri" w:cs="Calibri"/>
        </w:rPr>
        <w:t>novčani</w:t>
      </w:r>
      <w:proofErr w:type="spellEnd"/>
      <w:r w:rsidRPr="009C526F">
        <w:rPr>
          <w:rFonts w:ascii="Calibri" w:hAnsi="Calibri" w:cs="Calibri"/>
        </w:rPr>
        <w:t xml:space="preserve"> fond </w:t>
      </w:r>
      <w:proofErr w:type="spellStart"/>
      <w:r w:rsidRPr="009C526F">
        <w:rPr>
          <w:rFonts w:ascii="Calibri" w:hAnsi="Calibri" w:cs="Calibri"/>
        </w:rPr>
        <w:t>sa</w:t>
      </w:r>
      <w:proofErr w:type="spellEnd"/>
      <w:r w:rsidRPr="009C526F">
        <w:rPr>
          <w:rFonts w:ascii="Calibri" w:hAnsi="Calibri" w:cs="Calibri"/>
        </w:rPr>
        <w:t xml:space="preserve"> </w:t>
      </w:r>
      <w:proofErr w:type="spellStart"/>
      <w:r w:rsidRPr="009C526F">
        <w:rPr>
          <w:rFonts w:ascii="Calibri" w:hAnsi="Calibri" w:cs="Calibri"/>
        </w:rPr>
        <w:t>ciljnom</w:t>
      </w:r>
      <w:proofErr w:type="spellEnd"/>
      <w:r w:rsidRPr="009C526F">
        <w:rPr>
          <w:rFonts w:ascii="Calibri" w:hAnsi="Calibri" w:cs="Calibri"/>
        </w:rPr>
        <w:t xml:space="preserve"> </w:t>
      </w:r>
      <w:proofErr w:type="spellStart"/>
      <w:r w:rsidRPr="009C526F">
        <w:rPr>
          <w:rFonts w:ascii="Calibri" w:hAnsi="Calibri" w:cs="Calibri"/>
        </w:rPr>
        <w:t>strukturom</w:t>
      </w:r>
      <w:proofErr w:type="spellEnd"/>
      <w:r w:rsidRPr="009C526F">
        <w:rPr>
          <w:rFonts w:ascii="Calibri" w:hAnsi="Calibri" w:cs="Calibri"/>
        </w:rPr>
        <w:t xml:space="preserve"> </w:t>
      </w:r>
      <w:proofErr w:type="spellStart"/>
      <w:r w:rsidRPr="009C526F">
        <w:rPr>
          <w:rFonts w:ascii="Calibri" w:hAnsi="Calibri" w:cs="Calibri"/>
        </w:rPr>
        <w:t>ulaganja</w:t>
      </w:r>
      <w:proofErr w:type="spellEnd"/>
      <w:r w:rsidRPr="009C526F">
        <w:rPr>
          <w:rFonts w:ascii="Calibri" w:hAnsi="Calibri" w:cs="Calibri"/>
        </w:rPr>
        <w:t xml:space="preserve"> u </w:t>
      </w:r>
      <w:proofErr w:type="spellStart"/>
      <w:r w:rsidRPr="009C526F">
        <w:rPr>
          <w:rFonts w:ascii="Calibri" w:hAnsi="Calibri" w:cs="Calibri"/>
        </w:rPr>
        <w:t>novčana</w:t>
      </w:r>
      <w:proofErr w:type="spellEnd"/>
      <w:r w:rsidRPr="009C526F">
        <w:rPr>
          <w:rFonts w:ascii="Calibri" w:hAnsi="Calibri" w:cs="Calibri"/>
        </w:rPr>
        <w:t xml:space="preserve"> </w:t>
      </w:r>
      <w:proofErr w:type="spellStart"/>
      <w:r w:rsidRPr="009C526F">
        <w:rPr>
          <w:rFonts w:ascii="Calibri" w:hAnsi="Calibri" w:cs="Calibri"/>
        </w:rPr>
        <w:t>sredstva</w:t>
      </w:r>
      <w:proofErr w:type="spellEnd"/>
      <w:r w:rsidRPr="009C526F">
        <w:rPr>
          <w:rFonts w:ascii="Calibri" w:hAnsi="Calibri" w:cs="Calibri"/>
        </w:rPr>
        <w:t xml:space="preserve">, </w:t>
      </w:r>
      <w:proofErr w:type="spellStart"/>
      <w:r w:rsidRPr="009C526F">
        <w:rPr>
          <w:rFonts w:ascii="Calibri" w:hAnsi="Calibri" w:cs="Calibri"/>
        </w:rPr>
        <w:t>instrumente</w:t>
      </w:r>
      <w:proofErr w:type="spellEnd"/>
      <w:r w:rsidRPr="009C526F">
        <w:rPr>
          <w:rFonts w:ascii="Calibri" w:hAnsi="Calibri" w:cs="Calibri"/>
        </w:rPr>
        <w:t xml:space="preserve"> </w:t>
      </w:r>
      <w:proofErr w:type="spellStart"/>
      <w:r w:rsidRPr="009C526F">
        <w:rPr>
          <w:rFonts w:ascii="Calibri" w:hAnsi="Calibri" w:cs="Calibri"/>
        </w:rPr>
        <w:t>tržišta</w:t>
      </w:r>
      <w:proofErr w:type="spellEnd"/>
      <w:r w:rsidRPr="009C526F">
        <w:rPr>
          <w:rFonts w:ascii="Calibri" w:hAnsi="Calibri" w:cs="Calibri"/>
        </w:rPr>
        <w:t xml:space="preserve"> </w:t>
      </w:r>
      <w:proofErr w:type="spellStart"/>
      <w:r w:rsidRPr="009C526F">
        <w:rPr>
          <w:rFonts w:ascii="Calibri" w:hAnsi="Calibri" w:cs="Calibri"/>
        </w:rPr>
        <w:t>novca</w:t>
      </w:r>
      <w:proofErr w:type="spellEnd"/>
      <w:r w:rsidRPr="009C526F">
        <w:rPr>
          <w:rFonts w:ascii="Calibri" w:hAnsi="Calibri" w:cs="Calibri"/>
        </w:rPr>
        <w:t xml:space="preserve"> </w:t>
      </w:r>
      <w:proofErr w:type="spellStart"/>
      <w:r w:rsidRPr="009C526F">
        <w:rPr>
          <w:rFonts w:ascii="Calibri" w:hAnsi="Calibri" w:cs="Calibri"/>
        </w:rPr>
        <w:t>i</w:t>
      </w:r>
      <w:proofErr w:type="spellEnd"/>
      <w:r w:rsidRPr="009C526F">
        <w:rPr>
          <w:rFonts w:ascii="Calibri" w:hAnsi="Calibri" w:cs="Calibri"/>
        </w:rPr>
        <w:t xml:space="preserve"> </w:t>
      </w:r>
      <w:proofErr w:type="spellStart"/>
      <w:r w:rsidRPr="009C526F">
        <w:rPr>
          <w:rFonts w:ascii="Calibri" w:hAnsi="Calibri" w:cs="Calibri"/>
        </w:rPr>
        <w:t>ekvivalente</w:t>
      </w:r>
      <w:proofErr w:type="spellEnd"/>
      <w:r w:rsidRPr="009C526F">
        <w:rPr>
          <w:rFonts w:ascii="Calibri" w:hAnsi="Calibri" w:cs="Calibri"/>
        </w:rPr>
        <w:t xml:space="preserve"> </w:t>
      </w:r>
      <w:proofErr w:type="spellStart"/>
      <w:r w:rsidRPr="009C526F">
        <w:rPr>
          <w:rFonts w:ascii="Calibri" w:hAnsi="Calibri" w:cs="Calibri"/>
        </w:rPr>
        <w:t>novca</w:t>
      </w:r>
      <w:proofErr w:type="spellEnd"/>
      <w:r w:rsidRPr="009C526F">
        <w:rPr>
          <w:rFonts w:ascii="Calibri" w:hAnsi="Calibri" w:cs="Calibri"/>
        </w:rPr>
        <w:t xml:space="preserve"> u </w:t>
      </w:r>
      <w:proofErr w:type="spellStart"/>
      <w:r w:rsidRPr="009C526F">
        <w:rPr>
          <w:rFonts w:ascii="Calibri" w:hAnsi="Calibri" w:cs="Calibri"/>
        </w:rPr>
        <w:t>intervalu</w:t>
      </w:r>
      <w:proofErr w:type="spellEnd"/>
      <w:r w:rsidRPr="009C526F">
        <w:rPr>
          <w:rFonts w:ascii="Calibri" w:hAnsi="Calibri" w:cs="Calibri"/>
        </w:rPr>
        <w:t xml:space="preserve"> </w:t>
      </w:r>
      <w:proofErr w:type="spellStart"/>
      <w:r w:rsidRPr="009C526F">
        <w:rPr>
          <w:rFonts w:ascii="Calibri" w:hAnsi="Calibri" w:cs="Calibri"/>
        </w:rPr>
        <w:t>od</w:t>
      </w:r>
      <w:proofErr w:type="spellEnd"/>
      <w:r w:rsidRPr="009C526F">
        <w:rPr>
          <w:rFonts w:ascii="Calibri" w:hAnsi="Calibri" w:cs="Calibri"/>
        </w:rPr>
        <w:t xml:space="preserve"> 70% do 99</w:t>
      </w:r>
      <w:proofErr w:type="gramStart"/>
      <w:r w:rsidRPr="009C526F">
        <w:rPr>
          <w:rFonts w:ascii="Calibri" w:hAnsi="Calibri" w:cs="Calibri"/>
        </w:rPr>
        <w:t>,99</w:t>
      </w:r>
      <w:proofErr w:type="gramEnd"/>
      <w:r w:rsidRPr="009C526F">
        <w:rPr>
          <w:rFonts w:ascii="Calibri" w:hAnsi="Calibri" w:cs="Calibri"/>
        </w:rPr>
        <w:t xml:space="preserve">% </w:t>
      </w:r>
      <w:proofErr w:type="spellStart"/>
      <w:r w:rsidRPr="009C526F">
        <w:rPr>
          <w:rFonts w:ascii="Calibri" w:hAnsi="Calibri" w:cs="Calibri"/>
        </w:rPr>
        <w:t>ukupnih</w:t>
      </w:r>
      <w:proofErr w:type="spellEnd"/>
      <w:r w:rsidRPr="009C526F">
        <w:rPr>
          <w:rFonts w:ascii="Calibri" w:hAnsi="Calibri" w:cs="Calibri"/>
        </w:rPr>
        <w:t xml:space="preserve"> </w:t>
      </w:r>
      <w:proofErr w:type="spellStart"/>
      <w:r w:rsidRPr="009C526F">
        <w:rPr>
          <w:rFonts w:ascii="Calibri" w:hAnsi="Calibri" w:cs="Calibri"/>
        </w:rPr>
        <w:t>ulaganja</w:t>
      </w:r>
      <w:proofErr w:type="spellEnd"/>
      <w:r w:rsidRPr="009C526F">
        <w:rPr>
          <w:rFonts w:ascii="Calibri" w:hAnsi="Calibri" w:cs="Calibri"/>
        </w:rPr>
        <w:t xml:space="preserve">. </w:t>
      </w:r>
      <w:proofErr w:type="spellStart"/>
      <w:r w:rsidRPr="009C526F">
        <w:rPr>
          <w:rFonts w:ascii="Calibri" w:hAnsi="Calibri" w:cs="Calibri"/>
        </w:rPr>
        <w:t>Ekonomska</w:t>
      </w:r>
      <w:proofErr w:type="spellEnd"/>
      <w:r w:rsidRPr="009C526F">
        <w:rPr>
          <w:rFonts w:ascii="Calibri" w:hAnsi="Calibri" w:cs="Calibri"/>
        </w:rPr>
        <w:t xml:space="preserve"> </w:t>
      </w:r>
      <w:proofErr w:type="spellStart"/>
      <w:r w:rsidRPr="009C526F">
        <w:rPr>
          <w:rFonts w:ascii="Calibri" w:hAnsi="Calibri" w:cs="Calibri"/>
        </w:rPr>
        <w:t>situacija</w:t>
      </w:r>
      <w:proofErr w:type="spellEnd"/>
      <w:r w:rsidRPr="009C526F">
        <w:rPr>
          <w:rFonts w:ascii="Calibri" w:hAnsi="Calibri" w:cs="Calibri"/>
        </w:rPr>
        <w:t xml:space="preserve"> u </w:t>
      </w:r>
      <w:proofErr w:type="spellStart"/>
      <w:r w:rsidRPr="009C526F">
        <w:rPr>
          <w:rFonts w:ascii="Calibri" w:hAnsi="Calibri" w:cs="Calibri"/>
        </w:rPr>
        <w:t>Republici</w:t>
      </w:r>
      <w:proofErr w:type="spellEnd"/>
      <w:r w:rsidRPr="009C526F">
        <w:rPr>
          <w:rFonts w:ascii="Calibri" w:hAnsi="Calibri" w:cs="Calibri"/>
        </w:rPr>
        <w:t xml:space="preserve"> </w:t>
      </w:r>
      <w:proofErr w:type="spellStart"/>
      <w:r w:rsidRPr="009C526F">
        <w:rPr>
          <w:rFonts w:ascii="Calibri" w:hAnsi="Calibri" w:cs="Calibri"/>
        </w:rPr>
        <w:t>Srpskoj</w:t>
      </w:r>
      <w:proofErr w:type="spellEnd"/>
      <w:r w:rsidRPr="009C526F">
        <w:rPr>
          <w:rFonts w:ascii="Calibri" w:hAnsi="Calibri" w:cs="Calibri"/>
        </w:rPr>
        <w:t xml:space="preserve"> </w:t>
      </w:r>
      <w:proofErr w:type="spellStart"/>
      <w:r w:rsidRPr="009C526F">
        <w:rPr>
          <w:rFonts w:ascii="Calibri" w:hAnsi="Calibri" w:cs="Calibri"/>
        </w:rPr>
        <w:t>može</w:t>
      </w:r>
      <w:proofErr w:type="spellEnd"/>
      <w:r w:rsidRPr="009C526F">
        <w:rPr>
          <w:rFonts w:ascii="Calibri" w:hAnsi="Calibri" w:cs="Calibri"/>
        </w:rPr>
        <w:t xml:space="preserve"> </w:t>
      </w:r>
      <w:proofErr w:type="spellStart"/>
      <w:r w:rsidRPr="009C526F">
        <w:rPr>
          <w:rFonts w:ascii="Calibri" w:hAnsi="Calibri" w:cs="Calibri"/>
        </w:rPr>
        <w:t>uticati</w:t>
      </w:r>
      <w:proofErr w:type="spellEnd"/>
      <w:r w:rsidRPr="009C526F">
        <w:rPr>
          <w:rFonts w:ascii="Calibri" w:hAnsi="Calibri" w:cs="Calibri"/>
        </w:rPr>
        <w:t xml:space="preserve"> </w:t>
      </w:r>
      <w:proofErr w:type="spellStart"/>
      <w:proofErr w:type="gramStart"/>
      <w:r w:rsidRPr="009C526F">
        <w:rPr>
          <w:rFonts w:ascii="Calibri" w:hAnsi="Calibri" w:cs="Calibri"/>
        </w:rPr>
        <w:t>na</w:t>
      </w:r>
      <w:proofErr w:type="spellEnd"/>
      <w:proofErr w:type="gramEnd"/>
      <w:r w:rsidRPr="009C526F">
        <w:rPr>
          <w:rFonts w:ascii="Calibri" w:hAnsi="Calibri" w:cs="Calibri"/>
        </w:rPr>
        <w:t xml:space="preserve"> </w:t>
      </w:r>
      <w:proofErr w:type="spellStart"/>
      <w:r w:rsidRPr="009C526F">
        <w:rPr>
          <w:rFonts w:ascii="Calibri" w:hAnsi="Calibri" w:cs="Calibri"/>
        </w:rPr>
        <w:t>zainteresovanost</w:t>
      </w:r>
      <w:proofErr w:type="spellEnd"/>
      <w:r w:rsidRPr="009C526F">
        <w:rPr>
          <w:rFonts w:ascii="Calibri" w:hAnsi="Calibri" w:cs="Calibri"/>
        </w:rPr>
        <w:t xml:space="preserve"> </w:t>
      </w:r>
      <w:proofErr w:type="spellStart"/>
      <w:r w:rsidRPr="009C526F">
        <w:rPr>
          <w:rFonts w:ascii="Calibri" w:hAnsi="Calibri" w:cs="Calibri"/>
        </w:rPr>
        <w:t>investitora</w:t>
      </w:r>
      <w:proofErr w:type="spellEnd"/>
      <w:r w:rsidRPr="009C526F">
        <w:rPr>
          <w:rFonts w:ascii="Calibri" w:hAnsi="Calibri" w:cs="Calibri"/>
        </w:rPr>
        <w:t xml:space="preserve"> </w:t>
      </w:r>
      <w:proofErr w:type="spellStart"/>
      <w:r w:rsidRPr="009C526F">
        <w:rPr>
          <w:rFonts w:ascii="Calibri" w:hAnsi="Calibri" w:cs="Calibri"/>
        </w:rPr>
        <w:t>i</w:t>
      </w:r>
      <w:proofErr w:type="spellEnd"/>
      <w:r w:rsidRPr="009C526F">
        <w:rPr>
          <w:rFonts w:ascii="Calibri" w:hAnsi="Calibri" w:cs="Calibri"/>
        </w:rPr>
        <w:t xml:space="preserve"> </w:t>
      </w:r>
      <w:proofErr w:type="spellStart"/>
      <w:r w:rsidRPr="009C526F">
        <w:rPr>
          <w:rFonts w:ascii="Calibri" w:hAnsi="Calibri" w:cs="Calibri"/>
        </w:rPr>
        <w:t>drugih</w:t>
      </w:r>
      <w:proofErr w:type="spellEnd"/>
      <w:r w:rsidRPr="009C526F">
        <w:rPr>
          <w:rFonts w:ascii="Calibri" w:hAnsi="Calibri" w:cs="Calibri"/>
        </w:rPr>
        <w:t xml:space="preserve"> </w:t>
      </w:r>
      <w:proofErr w:type="spellStart"/>
      <w:r w:rsidRPr="009C526F">
        <w:rPr>
          <w:rFonts w:ascii="Calibri" w:hAnsi="Calibri" w:cs="Calibri"/>
        </w:rPr>
        <w:t>učesnika</w:t>
      </w:r>
      <w:proofErr w:type="spellEnd"/>
      <w:r w:rsidRPr="009C526F">
        <w:rPr>
          <w:rFonts w:ascii="Calibri" w:hAnsi="Calibri" w:cs="Calibri"/>
        </w:rPr>
        <w:t xml:space="preserve"> </w:t>
      </w:r>
      <w:proofErr w:type="spellStart"/>
      <w:r w:rsidRPr="009C526F">
        <w:rPr>
          <w:rFonts w:ascii="Calibri" w:hAnsi="Calibri" w:cs="Calibri"/>
        </w:rPr>
        <w:t>tržišta</w:t>
      </w:r>
      <w:proofErr w:type="spellEnd"/>
      <w:r w:rsidRPr="009C526F">
        <w:rPr>
          <w:rFonts w:ascii="Calibri" w:hAnsi="Calibri" w:cs="Calibri"/>
        </w:rPr>
        <w:t xml:space="preserve"> </w:t>
      </w:r>
      <w:proofErr w:type="spellStart"/>
      <w:r w:rsidRPr="009C526F">
        <w:rPr>
          <w:rFonts w:ascii="Calibri" w:hAnsi="Calibri" w:cs="Calibri"/>
        </w:rPr>
        <w:t>kapitala</w:t>
      </w:r>
      <w:proofErr w:type="spellEnd"/>
      <w:r w:rsidRPr="009C526F">
        <w:rPr>
          <w:rFonts w:ascii="Calibri" w:hAnsi="Calibri" w:cs="Calibri"/>
        </w:rPr>
        <w:t xml:space="preserve"> </w:t>
      </w:r>
      <w:proofErr w:type="spellStart"/>
      <w:r w:rsidRPr="009C526F">
        <w:rPr>
          <w:rFonts w:ascii="Calibri" w:hAnsi="Calibri" w:cs="Calibri"/>
        </w:rPr>
        <w:t>i</w:t>
      </w:r>
      <w:proofErr w:type="spellEnd"/>
      <w:r w:rsidRPr="009C526F">
        <w:rPr>
          <w:rFonts w:ascii="Calibri" w:hAnsi="Calibri" w:cs="Calibri"/>
        </w:rPr>
        <w:t xml:space="preserve"> </w:t>
      </w:r>
      <w:proofErr w:type="spellStart"/>
      <w:r w:rsidRPr="009C526F">
        <w:rPr>
          <w:rFonts w:ascii="Calibri" w:hAnsi="Calibri" w:cs="Calibri"/>
        </w:rPr>
        <w:t>novca</w:t>
      </w:r>
      <w:proofErr w:type="spellEnd"/>
      <w:r w:rsidRPr="009C526F">
        <w:rPr>
          <w:rFonts w:ascii="Calibri" w:hAnsi="Calibri" w:cs="Calibri"/>
        </w:rPr>
        <w:t xml:space="preserve">, </w:t>
      </w:r>
      <w:proofErr w:type="spellStart"/>
      <w:r w:rsidRPr="009C526F">
        <w:rPr>
          <w:rFonts w:ascii="Calibri" w:hAnsi="Calibri" w:cs="Calibri"/>
        </w:rPr>
        <w:t>što</w:t>
      </w:r>
      <w:proofErr w:type="spellEnd"/>
      <w:r w:rsidRPr="009C526F">
        <w:rPr>
          <w:rFonts w:ascii="Calibri" w:hAnsi="Calibri" w:cs="Calibri"/>
        </w:rPr>
        <w:t xml:space="preserve"> </w:t>
      </w:r>
      <w:proofErr w:type="spellStart"/>
      <w:r w:rsidRPr="009C526F">
        <w:rPr>
          <w:rFonts w:ascii="Calibri" w:hAnsi="Calibri" w:cs="Calibri"/>
        </w:rPr>
        <w:t>može</w:t>
      </w:r>
      <w:proofErr w:type="spellEnd"/>
      <w:r w:rsidRPr="009C526F">
        <w:rPr>
          <w:rFonts w:ascii="Calibri" w:hAnsi="Calibri" w:cs="Calibri"/>
        </w:rPr>
        <w:t xml:space="preserve"> </w:t>
      </w:r>
      <w:proofErr w:type="spellStart"/>
      <w:r w:rsidRPr="009C526F">
        <w:rPr>
          <w:rFonts w:ascii="Calibri" w:hAnsi="Calibri" w:cs="Calibri"/>
        </w:rPr>
        <w:t>uticati</w:t>
      </w:r>
      <w:proofErr w:type="spellEnd"/>
      <w:r w:rsidRPr="009C526F">
        <w:rPr>
          <w:rFonts w:ascii="Calibri" w:hAnsi="Calibri" w:cs="Calibri"/>
        </w:rPr>
        <w:t xml:space="preserve"> </w:t>
      </w:r>
      <w:proofErr w:type="spellStart"/>
      <w:r w:rsidRPr="009C526F">
        <w:rPr>
          <w:rFonts w:ascii="Calibri" w:hAnsi="Calibri" w:cs="Calibri"/>
        </w:rPr>
        <w:t>na</w:t>
      </w:r>
      <w:proofErr w:type="spellEnd"/>
      <w:r w:rsidRPr="009C526F">
        <w:rPr>
          <w:rFonts w:ascii="Calibri" w:hAnsi="Calibri" w:cs="Calibri"/>
        </w:rPr>
        <w:t xml:space="preserve"> </w:t>
      </w:r>
      <w:proofErr w:type="spellStart"/>
      <w:r w:rsidRPr="009C526F">
        <w:rPr>
          <w:rFonts w:ascii="Calibri" w:hAnsi="Calibri" w:cs="Calibri"/>
        </w:rPr>
        <w:t>promjene</w:t>
      </w:r>
      <w:proofErr w:type="spellEnd"/>
      <w:r w:rsidRPr="009C526F">
        <w:rPr>
          <w:rFonts w:ascii="Calibri" w:hAnsi="Calibri" w:cs="Calibri"/>
        </w:rPr>
        <w:t xml:space="preserve"> </w:t>
      </w:r>
      <w:proofErr w:type="spellStart"/>
      <w:r w:rsidRPr="009C526F">
        <w:rPr>
          <w:rFonts w:ascii="Calibri" w:hAnsi="Calibri" w:cs="Calibri"/>
        </w:rPr>
        <w:t>vrijednosti</w:t>
      </w:r>
      <w:proofErr w:type="spellEnd"/>
      <w:r w:rsidRPr="009C526F">
        <w:rPr>
          <w:rFonts w:ascii="Calibri" w:hAnsi="Calibri" w:cs="Calibri"/>
        </w:rPr>
        <w:t xml:space="preserve"> </w:t>
      </w:r>
      <w:proofErr w:type="spellStart"/>
      <w:r w:rsidRPr="009C526F">
        <w:rPr>
          <w:rFonts w:ascii="Calibri" w:hAnsi="Calibri" w:cs="Calibri"/>
        </w:rPr>
        <w:t>hartija</w:t>
      </w:r>
      <w:proofErr w:type="spellEnd"/>
      <w:r w:rsidRPr="009C526F">
        <w:rPr>
          <w:rFonts w:ascii="Calibri" w:hAnsi="Calibri" w:cs="Calibri"/>
        </w:rPr>
        <w:t xml:space="preserve"> </w:t>
      </w:r>
      <w:proofErr w:type="spellStart"/>
      <w:r w:rsidRPr="009C526F">
        <w:rPr>
          <w:rFonts w:ascii="Calibri" w:hAnsi="Calibri" w:cs="Calibri"/>
        </w:rPr>
        <w:t>od</w:t>
      </w:r>
      <w:proofErr w:type="spellEnd"/>
      <w:r w:rsidRPr="009C526F">
        <w:rPr>
          <w:rFonts w:ascii="Calibri" w:hAnsi="Calibri" w:cs="Calibri"/>
        </w:rPr>
        <w:t xml:space="preserve"> </w:t>
      </w:r>
      <w:proofErr w:type="spellStart"/>
      <w:r w:rsidRPr="009C526F">
        <w:rPr>
          <w:rFonts w:ascii="Calibri" w:hAnsi="Calibri" w:cs="Calibri"/>
        </w:rPr>
        <w:t>vrijednosti</w:t>
      </w:r>
      <w:proofErr w:type="spellEnd"/>
      <w:r w:rsidRPr="009C526F">
        <w:rPr>
          <w:rFonts w:ascii="Calibri" w:hAnsi="Calibri" w:cs="Calibri"/>
        </w:rPr>
        <w:t xml:space="preserve"> </w:t>
      </w:r>
      <w:proofErr w:type="spellStart"/>
      <w:r w:rsidRPr="009C526F">
        <w:rPr>
          <w:rFonts w:ascii="Calibri" w:hAnsi="Calibri" w:cs="Calibri"/>
        </w:rPr>
        <w:t>i</w:t>
      </w:r>
      <w:proofErr w:type="spellEnd"/>
      <w:r w:rsidRPr="009C526F">
        <w:rPr>
          <w:rFonts w:ascii="Calibri" w:hAnsi="Calibri" w:cs="Calibri"/>
        </w:rPr>
        <w:t xml:space="preserve"> </w:t>
      </w:r>
      <w:proofErr w:type="spellStart"/>
      <w:r w:rsidRPr="009C526F">
        <w:rPr>
          <w:rFonts w:ascii="Calibri" w:hAnsi="Calibri" w:cs="Calibri"/>
        </w:rPr>
        <w:t>ostalih</w:t>
      </w:r>
      <w:proofErr w:type="spellEnd"/>
      <w:r w:rsidRPr="009C526F">
        <w:rPr>
          <w:rFonts w:ascii="Calibri" w:hAnsi="Calibri" w:cs="Calibri"/>
        </w:rPr>
        <w:t xml:space="preserve"> </w:t>
      </w:r>
      <w:proofErr w:type="spellStart"/>
      <w:r w:rsidRPr="009C526F">
        <w:rPr>
          <w:rFonts w:ascii="Calibri" w:hAnsi="Calibri" w:cs="Calibri"/>
        </w:rPr>
        <w:t>ulaganja</w:t>
      </w:r>
      <w:proofErr w:type="spellEnd"/>
      <w:r w:rsidRPr="009C526F">
        <w:rPr>
          <w:rFonts w:ascii="Calibri" w:hAnsi="Calibri" w:cs="Calibri"/>
        </w:rPr>
        <w:t xml:space="preserve"> u </w:t>
      </w:r>
      <w:proofErr w:type="spellStart"/>
      <w:r w:rsidRPr="009C526F">
        <w:rPr>
          <w:rFonts w:ascii="Calibri" w:hAnsi="Calibri" w:cs="Calibri"/>
        </w:rPr>
        <w:t>portfelju</w:t>
      </w:r>
      <w:proofErr w:type="spellEnd"/>
      <w:r w:rsidRPr="009C526F">
        <w:rPr>
          <w:rFonts w:ascii="Calibri" w:hAnsi="Calibri" w:cs="Calibri"/>
        </w:rPr>
        <w:t xml:space="preserve"> Fonda. </w:t>
      </w:r>
      <w:proofErr w:type="spellStart"/>
      <w:r w:rsidRPr="009C526F">
        <w:rPr>
          <w:rFonts w:ascii="Calibri" w:hAnsi="Calibri" w:cs="Calibri"/>
        </w:rPr>
        <w:t>Obzirom</w:t>
      </w:r>
      <w:proofErr w:type="spellEnd"/>
      <w:r w:rsidRPr="009C526F">
        <w:rPr>
          <w:rFonts w:ascii="Calibri" w:hAnsi="Calibri" w:cs="Calibri"/>
        </w:rPr>
        <w:t xml:space="preserve"> </w:t>
      </w:r>
      <w:proofErr w:type="spellStart"/>
      <w:proofErr w:type="gramStart"/>
      <w:r w:rsidRPr="009C526F">
        <w:rPr>
          <w:rFonts w:ascii="Calibri" w:hAnsi="Calibri" w:cs="Calibri"/>
        </w:rPr>
        <w:t>na</w:t>
      </w:r>
      <w:proofErr w:type="spellEnd"/>
      <w:proofErr w:type="gramEnd"/>
      <w:r w:rsidRPr="009C526F">
        <w:rPr>
          <w:rFonts w:ascii="Calibri" w:hAnsi="Calibri" w:cs="Calibri"/>
        </w:rPr>
        <w:t xml:space="preserve"> </w:t>
      </w:r>
      <w:proofErr w:type="spellStart"/>
      <w:r w:rsidRPr="009C526F">
        <w:rPr>
          <w:rFonts w:ascii="Calibri" w:hAnsi="Calibri" w:cs="Calibri"/>
        </w:rPr>
        <w:t>kratak</w:t>
      </w:r>
      <w:proofErr w:type="spellEnd"/>
      <w:r w:rsidRPr="009C526F">
        <w:rPr>
          <w:rFonts w:ascii="Calibri" w:hAnsi="Calibri" w:cs="Calibri"/>
        </w:rPr>
        <w:t xml:space="preserve"> </w:t>
      </w:r>
      <w:proofErr w:type="spellStart"/>
      <w:r w:rsidRPr="009C526F">
        <w:rPr>
          <w:rFonts w:ascii="Calibri" w:hAnsi="Calibri" w:cs="Calibri"/>
        </w:rPr>
        <w:t>vremenski</w:t>
      </w:r>
      <w:proofErr w:type="spellEnd"/>
      <w:r w:rsidRPr="009C526F">
        <w:rPr>
          <w:rFonts w:ascii="Calibri" w:hAnsi="Calibri" w:cs="Calibri"/>
        </w:rPr>
        <w:t xml:space="preserve"> period </w:t>
      </w:r>
      <w:proofErr w:type="spellStart"/>
      <w:r w:rsidRPr="009C526F">
        <w:rPr>
          <w:rFonts w:ascii="Calibri" w:hAnsi="Calibri" w:cs="Calibri"/>
        </w:rPr>
        <w:t>postojanja</w:t>
      </w:r>
      <w:proofErr w:type="spellEnd"/>
      <w:r w:rsidRPr="009C526F">
        <w:rPr>
          <w:rFonts w:ascii="Calibri" w:hAnsi="Calibri" w:cs="Calibri"/>
        </w:rPr>
        <w:t xml:space="preserve"> </w:t>
      </w:r>
      <w:proofErr w:type="spellStart"/>
      <w:r w:rsidRPr="009C526F">
        <w:rPr>
          <w:rFonts w:ascii="Calibri" w:hAnsi="Calibri" w:cs="Calibri"/>
        </w:rPr>
        <w:t>novčanog</w:t>
      </w:r>
      <w:proofErr w:type="spellEnd"/>
      <w:r w:rsidRPr="009C526F">
        <w:rPr>
          <w:rFonts w:ascii="Calibri" w:hAnsi="Calibri" w:cs="Calibri"/>
        </w:rPr>
        <w:t xml:space="preserve"> Fonda ne </w:t>
      </w:r>
      <w:proofErr w:type="spellStart"/>
      <w:r w:rsidRPr="009C526F">
        <w:rPr>
          <w:rFonts w:ascii="Calibri" w:hAnsi="Calibri" w:cs="Calibri"/>
        </w:rPr>
        <w:t>postoje</w:t>
      </w:r>
      <w:proofErr w:type="spellEnd"/>
      <w:r w:rsidRPr="009C526F">
        <w:rPr>
          <w:rFonts w:ascii="Calibri" w:hAnsi="Calibri" w:cs="Calibri"/>
        </w:rPr>
        <w:t xml:space="preserve"> </w:t>
      </w:r>
      <w:proofErr w:type="spellStart"/>
      <w:r w:rsidRPr="009C526F">
        <w:rPr>
          <w:rFonts w:ascii="Calibri" w:hAnsi="Calibri" w:cs="Calibri"/>
        </w:rPr>
        <w:t>istorijski</w:t>
      </w:r>
      <w:proofErr w:type="spellEnd"/>
      <w:r w:rsidRPr="009C526F">
        <w:rPr>
          <w:rFonts w:ascii="Calibri" w:hAnsi="Calibri" w:cs="Calibri"/>
        </w:rPr>
        <w:t xml:space="preserve"> </w:t>
      </w:r>
      <w:proofErr w:type="spellStart"/>
      <w:r w:rsidRPr="009C526F">
        <w:rPr>
          <w:rFonts w:ascii="Calibri" w:hAnsi="Calibri" w:cs="Calibri"/>
        </w:rPr>
        <w:t>podaci</w:t>
      </w:r>
      <w:proofErr w:type="spellEnd"/>
      <w:r w:rsidRPr="009C526F">
        <w:rPr>
          <w:rFonts w:ascii="Calibri" w:hAnsi="Calibri" w:cs="Calibri"/>
        </w:rPr>
        <w:t xml:space="preserve"> </w:t>
      </w:r>
      <w:proofErr w:type="spellStart"/>
      <w:r w:rsidRPr="009C526F">
        <w:rPr>
          <w:rFonts w:ascii="Calibri" w:hAnsi="Calibri" w:cs="Calibri"/>
        </w:rPr>
        <w:t>koji</w:t>
      </w:r>
      <w:proofErr w:type="spellEnd"/>
      <w:r w:rsidRPr="009C526F">
        <w:rPr>
          <w:rFonts w:ascii="Calibri" w:hAnsi="Calibri" w:cs="Calibri"/>
        </w:rPr>
        <w:t xml:space="preserve"> bi </w:t>
      </w:r>
      <w:proofErr w:type="spellStart"/>
      <w:r w:rsidRPr="009C526F">
        <w:rPr>
          <w:rFonts w:ascii="Calibri" w:hAnsi="Calibri" w:cs="Calibri"/>
        </w:rPr>
        <w:t>mogli</w:t>
      </w:r>
      <w:proofErr w:type="spellEnd"/>
      <w:r w:rsidRPr="009C526F">
        <w:rPr>
          <w:rFonts w:ascii="Calibri" w:hAnsi="Calibri" w:cs="Calibri"/>
        </w:rPr>
        <w:t xml:space="preserve"> </w:t>
      </w:r>
      <w:proofErr w:type="spellStart"/>
      <w:r w:rsidRPr="009C526F">
        <w:rPr>
          <w:rFonts w:ascii="Calibri" w:hAnsi="Calibri" w:cs="Calibri"/>
        </w:rPr>
        <w:t>poslužiti</w:t>
      </w:r>
      <w:proofErr w:type="spellEnd"/>
      <w:r w:rsidRPr="009C526F">
        <w:rPr>
          <w:rFonts w:ascii="Calibri" w:hAnsi="Calibri" w:cs="Calibri"/>
        </w:rPr>
        <w:t xml:space="preserve"> </w:t>
      </w:r>
      <w:proofErr w:type="spellStart"/>
      <w:r w:rsidRPr="009C526F">
        <w:rPr>
          <w:rFonts w:ascii="Calibri" w:hAnsi="Calibri" w:cs="Calibri"/>
        </w:rPr>
        <w:t>kao</w:t>
      </w:r>
      <w:proofErr w:type="spellEnd"/>
      <w:r w:rsidRPr="009C526F">
        <w:rPr>
          <w:rFonts w:ascii="Calibri" w:hAnsi="Calibri" w:cs="Calibri"/>
        </w:rPr>
        <w:t xml:space="preserve"> </w:t>
      </w:r>
      <w:proofErr w:type="spellStart"/>
      <w:r w:rsidRPr="009C526F">
        <w:rPr>
          <w:rFonts w:ascii="Calibri" w:hAnsi="Calibri" w:cs="Calibri"/>
        </w:rPr>
        <w:t>pouzdanija</w:t>
      </w:r>
      <w:proofErr w:type="spellEnd"/>
      <w:r w:rsidRPr="009C526F">
        <w:rPr>
          <w:rFonts w:ascii="Calibri" w:hAnsi="Calibri" w:cs="Calibri"/>
        </w:rPr>
        <w:t xml:space="preserve"> </w:t>
      </w:r>
      <w:proofErr w:type="spellStart"/>
      <w:r w:rsidRPr="009C526F">
        <w:rPr>
          <w:rFonts w:ascii="Calibri" w:hAnsi="Calibri" w:cs="Calibri"/>
        </w:rPr>
        <w:t>procjena</w:t>
      </w:r>
      <w:proofErr w:type="spellEnd"/>
      <w:r w:rsidRPr="009C526F">
        <w:rPr>
          <w:rFonts w:ascii="Calibri" w:hAnsi="Calibri" w:cs="Calibri"/>
        </w:rPr>
        <w:t xml:space="preserve"> </w:t>
      </w:r>
      <w:proofErr w:type="spellStart"/>
      <w:r w:rsidRPr="009C526F">
        <w:rPr>
          <w:rFonts w:ascii="Calibri" w:hAnsi="Calibri" w:cs="Calibri"/>
        </w:rPr>
        <w:t>budućih</w:t>
      </w:r>
      <w:proofErr w:type="spellEnd"/>
      <w:r w:rsidRPr="009C526F">
        <w:rPr>
          <w:rFonts w:ascii="Calibri" w:hAnsi="Calibri" w:cs="Calibri"/>
        </w:rPr>
        <w:t xml:space="preserve"> </w:t>
      </w:r>
      <w:proofErr w:type="spellStart"/>
      <w:r w:rsidRPr="009C526F">
        <w:rPr>
          <w:rFonts w:ascii="Calibri" w:hAnsi="Calibri" w:cs="Calibri"/>
        </w:rPr>
        <w:t>performansi</w:t>
      </w:r>
      <w:proofErr w:type="spellEnd"/>
      <w:r w:rsidRPr="009C526F">
        <w:rPr>
          <w:rFonts w:ascii="Calibri" w:hAnsi="Calibri" w:cs="Calibri"/>
        </w:rPr>
        <w:t xml:space="preserve"> Fonda.</w:t>
      </w:r>
    </w:p>
    <w:p w:rsidR="00506680" w:rsidRDefault="00506680" w:rsidP="00506680">
      <w:pPr>
        <w:jc w:val="both"/>
        <w:rPr>
          <w:rFonts w:ascii="Calibri" w:hAnsi="Calibri" w:cs="Calibri"/>
        </w:rPr>
      </w:pPr>
    </w:p>
    <w:p w:rsidR="00506680" w:rsidRPr="009B039D" w:rsidRDefault="00506680" w:rsidP="00506680">
      <w:pPr>
        <w:jc w:val="both"/>
        <w:rPr>
          <w:rFonts w:ascii="Calibri" w:hAnsi="Calibri" w:cs="Calibri"/>
        </w:rPr>
      </w:pPr>
      <w:proofErr w:type="spellStart"/>
      <w:r w:rsidRPr="009B039D">
        <w:rPr>
          <w:rFonts w:ascii="Calibri" w:hAnsi="Calibri" w:cs="Calibri"/>
        </w:rPr>
        <w:t>Obaveza</w:t>
      </w:r>
      <w:proofErr w:type="spellEnd"/>
      <w:r w:rsidRPr="009B039D">
        <w:rPr>
          <w:rFonts w:ascii="Calibri" w:hAnsi="Calibri" w:cs="Calibri"/>
        </w:rPr>
        <w:t xml:space="preserve"> </w:t>
      </w:r>
      <w:proofErr w:type="spellStart"/>
      <w:r w:rsidRPr="009B039D">
        <w:rPr>
          <w:rFonts w:ascii="Calibri" w:hAnsi="Calibri" w:cs="Calibri"/>
        </w:rPr>
        <w:t>otvaranja</w:t>
      </w:r>
      <w:proofErr w:type="spellEnd"/>
      <w:r w:rsidRPr="009B039D">
        <w:rPr>
          <w:rFonts w:ascii="Calibri" w:hAnsi="Calibri" w:cs="Calibri"/>
        </w:rPr>
        <w:t xml:space="preserve"> </w:t>
      </w:r>
      <w:proofErr w:type="spellStart"/>
      <w:proofErr w:type="gramStart"/>
      <w:r w:rsidRPr="009B039D">
        <w:rPr>
          <w:rFonts w:ascii="Calibri" w:hAnsi="Calibri" w:cs="Calibri"/>
        </w:rPr>
        <w:t>fonda</w:t>
      </w:r>
      <w:proofErr w:type="spellEnd"/>
      <w:proofErr w:type="gramEnd"/>
      <w:r w:rsidRPr="009B039D">
        <w:rPr>
          <w:rFonts w:ascii="Calibri" w:hAnsi="Calibri" w:cs="Calibri"/>
        </w:rPr>
        <w:t xml:space="preserve"> </w:t>
      </w:r>
      <w:proofErr w:type="spellStart"/>
      <w:r>
        <w:rPr>
          <w:rFonts w:ascii="Calibri" w:hAnsi="Calibri" w:cs="Calibri"/>
        </w:rPr>
        <w:t>jedan</w:t>
      </w:r>
      <w:proofErr w:type="spellEnd"/>
      <w:r>
        <w:rPr>
          <w:rFonts w:ascii="Calibri" w:hAnsi="Calibri" w:cs="Calibri"/>
        </w:rPr>
        <w:t xml:space="preserve"> put </w:t>
      </w:r>
      <w:proofErr w:type="spellStart"/>
      <w:r>
        <w:rPr>
          <w:rFonts w:ascii="Calibri" w:hAnsi="Calibri" w:cs="Calibri"/>
        </w:rPr>
        <w:t>godišnje</w:t>
      </w:r>
      <w:proofErr w:type="spellEnd"/>
      <w:r>
        <w:rPr>
          <w:rFonts w:ascii="Calibri" w:hAnsi="Calibri" w:cs="Calibri"/>
        </w:rPr>
        <w:t xml:space="preserve"> </w:t>
      </w:r>
      <w:proofErr w:type="spellStart"/>
      <w:r>
        <w:rPr>
          <w:rFonts w:ascii="Calibri" w:hAnsi="Calibri" w:cs="Calibri"/>
        </w:rPr>
        <w:t>nakon</w:t>
      </w:r>
      <w:proofErr w:type="spellEnd"/>
      <w:r w:rsidRPr="009B039D">
        <w:rPr>
          <w:rFonts w:ascii="Calibri" w:hAnsi="Calibri" w:cs="Calibri"/>
        </w:rPr>
        <w:t xml:space="preserve"> </w:t>
      </w:r>
      <w:proofErr w:type="spellStart"/>
      <w:r w:rsidRPr="009B039D">
        <w:rPr>
          <w:rFonts w:ascii="Calibri" w:hAnsi="Calibri" w:cs="Calibri"/>
        </w:rPr>
        <w:t>datuma</w:t>
      </w:r>
      <w:proofErr w:type="spellEnd"/>
      <w:r w:rsidRPr="009B039D">
        <w:rPr>
          <w:rFonts w:ascii="Calibri" w:hAnsi="Calibri" w:cs="Calibri"/>
        </w:rPr>
        <w:t xml:space="preserve"> </w:t>
      </w:r>
      <w:proofErr w:type="spellStart"/>
      <w:r w:rsidRPr="009B039D">
        <w:rPr>
          <w:rFonts w:ascii="Calibri" w:hAnsi="Calibri" w:cs="Calibri"/>
        </w:rPr>
        <w:t>osnivanja</w:t>
      </w:r>
      <w:proofErr w:type="spellEnd"/>
      <w:r w:rsidRPr="009B039D">
        <w:rPr>
          <w:rFonts w:ascii="Calibri" w:hAnsi="Calibri" w:cs="Calibri"/>
        </w:rPr>
        <w:t xml:space="preserve"> </w:t>
      </w:r>
      <w:proofErr w:type="spellStart"/>
      <w:r w:rsidRPr="009B039D">
        <w:rPr>
          <w:rFonts w:ascii="Calibri" w:hAnsi="Calibri" w:cs="Calibri"/>
        </w:rPr>
        <w:t>takođe</w:t>
      </w:r>
      <w:proofErr w:type="spellEnd"/>
      <w:r w:rsidRPr="009B039D">
        <w:rPr>
          <w:rFonts w:ascii="Calibri" w:hAnsi="Calibri" w:cs="Calibri"/>
        </w:rPr>
        <w:t xml:space="preserve"> </w:t>
      </w:r>
      <w:proofErr w:type="spellStart"/>
      <w:r w:rsidRPr="009B039D">
        <w:rPr>
          <w:rFonts w:ascii="Calibri" w:hAnsi="Calibri" w:cs="Calibri"/>
        </w:rPr>
        <w:t>može</w:t>
      </w:r>
      <w:proofErr w:type="spellEnd"/>
      <w:r w:rsidRPr="009B039D">
        <w:rPr>
          <w:rFonts w:ascii="Calibri" w:hAnsi="Calibri" w:cs="Calibri"/>
        </w:rPr>
        <w:t xml:space="preserve"> </w:t>
      </w:r>
      <w:proofErr w:type="spellStart"/>
      <w:r w:rsidRPr="009B039D">
        <w:rPr>
          <w:rFonts w:ascii="Calibri" w:hAnsi="Calibri" w:cs="Calibri"/>
        </w:rPr>
        <w:t>imati</w:t>
      </w:r>
      <w:proofErr w:type="spellEnd"/>
      <w:r w:rsidRPr="009B039D">
        <w:rPr>
          <w:rFonts w:ascii="Calibri" w:hAnsi="Calibri" w:cs="Calibri"/>
        </w:rPr>
        <w:t xml:space="preserve"> </w:t>
      </w:r>
      <w:proofErr w:type="spellStart"/>
      <w:r w:rsidRPr="009B039D">
        <w:rPr>
          <w:rFonts w:ascii="Calibri" w:hAnsi="Calibri" w:cs="Calibri"/>
        </w:rPr>
        <w:t>značajan</w:t>
      </w:r>
      <w:proofErr w:type="spellEnd"/>
      <w:r w:rsidRPr="009B039D">
        <w:rPr>
          <w:rFonts w:ascii="Calibri" w:hAnsi="Calibri" w:cs="Calibri"/>
        </w:rPr>
        <w:t xml:space="preserve"> </w:t>
      </w:r>
      <w:proofErr w:type="spellStart"/>
      <w:r w:rsidRPr="009B039D">
        <w:rPr>
          <w:rFonts w:ascii="Calibri" w:hAnsi="Calibri" w:cs="Calibri"/>
        </w:rPr>
        <w:t>uticaj</w:t>
      </w:r>
      <w:proofErr w:type="spellEnd"/>
      <w:r w:rsidRPr="009B039D">
        <w:rPr>
          <w:rFonts w:ascii="Calibri" w:hAnsi="Calibri" w:cs="Calibri"/>
        </w:rPr>
        <w:t xml:space="preserve"> </w:t>
      </w:r>
      <w:proofErr w:type="spellStart"/>
      <w:r w:rsidRPr="009B039D">
        <w:rPr>
          <w:rFonts w:ascii="Calibri" w:hAnsi="Calibri" w:cs="Calibri"/>
        </w:rPr>
        <w:t>na</w:t>
      </w:r>
      <w:proofErr w:type="spellEnd"/>
      <w:r w:rsidRPr="009B039D">
        <w:rPr>
          <w:rFonts w:ascii="Calibri" w:hAnsi="Calibri" w:cs="Calibri"/>
        </w:rPr>
        <w:t xml:space="preserve"> </w:t>
      </w:r>
      <w:proofErr w:type="spellStart"/>
      <w:r w:rsidRPr="009B039D">
        <w:rPr>
          <w:rFonts w:ascii="Calibri" w:hAnsi="Calibri" w:cs="Calibri"/>
        </w:rPr>
        <w:t>likvidnost</w:t>
      </w:r>
      <w:proofErr w:type="spellEnd"/>
      <w:r w:rsidRPr="009B039D">
        <w:rPr>
          <w:rFonts w:ascii="Calibri" w:hAnsi="Calibri" w:cs="Calibri"/>
        </w:rPr>
        <w:t xml:space="preserve"> </w:t>
      </w:r>
      <w:proofErr w:type="spellStart"/>
      <w:r w:rsidRPr="009B039D">
        <w:rPr>
          <w:rFonts w:ascii="Calibri" w:hAnsi="Calibri" w:cs="Calibri"/>
        </w:rPr>
        <w:t>fonda</w:t>
      </w:r>
      <w:proofErr w:type="spellEnd"/>
      <w:r w:rsidRPr="009B039D">
        <w:rPr>
          <w:rFonts w:ascii="Calibri" w:hAnsi="Calibri" w:cs="Calibri"/>
        </w:rPr>
        <w:t xml:space="preserve"> </w:t>
      </w:r>
      <w:proofErr w:type="spellStart"/>
      <w:r w:rsidRPr="009B039D">
        <w:rPr>
          <w:rFonts w:ascii="Calibri" w:hAnsi="Calibri" w:cs="Calibri"/>
        </w:rPr>
        <w:t>uzimajući</w:t>
      </w:r>
      <w:proofErr w:type="spellEnd"/>
      <w:r w:rsidRPr="009B039D">
        <w:rPr>
          <w:rFonts w:ascii="Calibri" w:hAnsi="Calibri" w:cs="Calibri"/>
        </w:rPr>
        <w:t xml:space="preserve"> u </w:t>
      </w:r>
      <w:proofErr w:type="spellStart"/>
      <w:r w:rsidRPr="009B039D">
        <w:rPr>
          <w:rFonts w:ascii="Calibri" w:hAnsi="Calibri" w:cs="Calibri"/>
        </w:rPr>
        <w:t>obzir</w:t>
      </w:r>
      <w:proofErr w:type="spellEnd"/>
      <w:r w:rsidRPr="009B039D">
        <w:rPr>
          <w:rFonts w:ascii="Calibri" w:hAnsi="Calibri" w:cs="Calibri"/>
        </w:rPr>
        <w:t xml:space="preserve"> </w:t>
      </w:r>
      <w:proofErr w:type="spellStart"/>
      <w:r w:rsidRPr="009B039D">
        <w:rPr>
          <w:rFonts w:ascii="Calibri" w:hAnsi="Calibri" w:cs="Calibri"/>
        </w:rPr>
        <w:t>postojeću</w:t>
      </w:r>
      <w:proofErr w:type="spellEnd"/>
      <w:r w:rsidRPr="009B039D">
        <w:rPr>
          <w:rFonts w:ascii="Calibri" w:hAnsi="Calibri" w:cs="Calibri"/>
        </w:rPr>
        <w:t xml:space="preserve"> </w:t>
      </w:r>
      <w:proofErr w:type="spellStart"/>
      <w:r w:rsidRPr="009B039D">
        <w:rPr>
          <w:rFonts w:ascii="Calibri" w:hAnsi="Calibri" w:cs="Calibri"/>
        </w:rPr>
        <w:t>likvidnost</w:t>
      </w:r>
      <w:proofErr w:type="spellEnd"/>
      <w:r w:rsidRPr="009B039D">
        <w:rPr>
          <w:rFonts w:ascii="Calibri" w:hAnsi="Calibri" w:cs="Calibri"/>
        </w:rPr>
        <w:t xml:space="preserve"> </w:t>
      </w:r>
      <w:proofErr w:type="spellStart"/>
      <w:r w:rsidRPr="009B039D">
        <w:rPr>
          <w:rFonts w:ascii="Calibri" w:hAnsi="Calibri" w:cs="Calibri"/>
        </w:rPr>
        <w:t>hartija</w:t>
      </w:r>
      <w:proofErr w:type="spellEnd"/>
      <w:r w:rsidRPr="009B039D">
        <w:rPr>
          <w:rFonts w:ascii="Calibri" w:hAnsi="Calibri" w:cs="Calibri"/>
        </w:rPr>
        <w:t xml:space="preserve"> </w:t>
      </w:r>
      <w:proofErr w:type="spellStart"/>
      <w:r w:rsidRPr="009B039D">
        <w:rPr>
          <w:rFonts w:ascii="Calibri" w:hAnsi="Calibri" w:cs="Calibri"/>
        </w:rPr>
        <w:t>kojima</w:t>
      </w:r>
      <w:proofErr w:type="spellEnd"/>
      <w:r w:rsidRPr="009B039D">
        <w:rPr>
          <w:rFonts w:ascii="Calibri" w:hAnsi="Calibri" w:cs="Calibri"/>
        </w:rPr>
        <w:t xml:space="preserve"> se </w:t>
      </w:r>
      <w:proofErr w:type="spellStart"/>
      <w:r w:rsidRPr="009B039D">
        <w:rPr>
          <w:rFonts w:ascii="Calibri" w:hAnsi="Calibri" w:cs="Calibri"/>
        </w:rPr>
        <w:t>trguje</w:t>
      </w:r>
      <w:proofErr w:type="spellEnd"/>
      <w:r w:rsidRPr="009B039D">
        <w:rPr>
          <w:rFonts w:ascii="Calibri" w:hAnsi="Calibri" w:cs="Calibri"/>
        </w:rPr>
        <w:t xml:space="preserve"> </w:t>
      </w:r>
      <w:proofErr w:type="spellStart"/>
      <w:r w:rsidRPr="009B039D">
        <w:rPr>
          <w:rFonts w:ascii="Calibri" w:hAnsi="Calibri" w:cs="Calibri"/>
        </w:rPr>
        <w:t>na</w:t>
      </w:r>
      <w:proofErr w:type="spellEnd"/>
      <w:r w:rsidRPr="009B039D">
        <w:rPr>
          <w:rFonts w:ascii="Calibri" w:hAnsi="Calibri" w:cs="Calibri"/>
        </w:rPr>
        <w:t xml:space="preserve"> </w:t>
      </w:r>
      <w:proofErr w:type="spellStart"/>
      <w:r w:rsidRPr="009B039D">
        <w:rPr>
          <w:rFonts w:ascii="Calibri" w:hAnsi="Calibri" w:cs="Calibri"/>
        </w:rPr>
        <w:t>domaćem</w:t>
      </w:r>
      <w:proofErr w:type="spellEnd"/>
      <w:r w:rsidRPr="009B039D">
        <w:rPr>
          <w:rFonts w:ascii="Calibri" w:hAnsi="Calibri" w:cs="Calibri"/>
        </w:rPr>
        <w:t xml:space="preserve"> </w:t>
      </w:r>
      <w:proofErr w:type="spellStart"/>
      <w:r w:rsidRPr="009B039D">
        <w:rPr>
          <w:rFonts w:ascii="Calibri" w:hAnsi="Calibri" w:cs="Calibri"/>
        </w:rPr>
        <w:t>tržištu</w:t>
      </w:r>
      <w:proofErr w:type="spellEnd"/>
      <w:r w:rsidRPr="009B039D">
        <w:rPr>
          <w:rFonts w:ascii="Calibri" w:hAnsi="Calibri" w:cs="Calibri"/>
        </w:rPr>
        <w:t xml:space="preserve">. </w:t>
      </w:r>
    </w:p>
    <w:p w:rsidR="00506680" w:rsidRDefault="00506680" w:rsidP="00273248"/>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8A27E1" w:rsidRDefault="000C483E" w:rsidP="008A27E1">
      <w:pPr>
        <w:pStyle w:val="Heading1"/>
        <w:rPr>
          <w:rFonts w:ascii="Calibri" w:hAnsi="Calibri" w:cs="Calibri"/>
          <w:noProof/>
          <w:sz w:val="24"/>
          <w:szCs w:val="24"/>
        </w:rPr>
      </w:pPr>
      <w:bookmarkStart w:id="41" w:name="_Toc506645338"/>
      <w:bookmarkStart w:id="42" w:name="_Toc506796531"/>
      <w:r w:rsidRPr="00A47E7E">
        <w:rPr>
          <w:rFonts w:ascii="Calibri" w:hAnsi="Calibri" w:cs="Calibri"/>
          <w:noProof/>
          <w:sz w:val="24"/>
          <w:szCs w:val="24"/>
        </w:rPr>
        <w:t>DEVIZNI KURSEVI</w:t>
      </w:r>
      <w:bookmarkEnd w:id="41"/>
      <w:bookmarkEnd w:id="42"/>
    </w:p>
    <w:p w:rsidR="000C483E" w:rsidRPr="00A47E7E" w:rsidRDefault="000C483E" w:rsidP="000C483E">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 za pojedine glavne valute su bili sljedeći:</w:t>
      </w:r>
    </w:p>
    <w:p w:rsidR="000C483E" w:rsidRPr="00A47E7E" w:rsidRDefault="000C483E" w:rsidP="000C483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C46DC" w:rsidRDefault="008C46D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Default="0000628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00628F">
        <w:rPr>
          <w:rFonts w:ascii="Calibri" w:hAnsi="Calibri" w:cs="Calibri"/>
          <w:noProof/>
          <w:lang w:val="sr-Latn-BA" w:eastAsia="sr-Latn-BA"/>
        </w:rPr>
        <w:drawing>
          <wp:inline distT="0" distB="0" distL="0" distR="0">
            <wp:extent cx="5677535" cy="1354455"/>
            <wp:effectExtent l="19050" t="0" r="0" b="0"/>
            <wp:docPr id="1" name="Picture 3" descr="cid:image002.png@01D4BF9A.C4A40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4BF9A.C4A407A0"/>
                    <pic:cNvPicPr>
                      <a:picLocks noChangeAspect="1" noChangeArrowheads="1"/>
                    </pic:cNvPicPr>
                  </pic:nvPicPr>
                  <pic:blipFill>
                    <a:blip r:embed="rId8" r:link="rId9" cstate="print"/>
                    <a:srcRect/>
                    <a:stretch>
                      <a:fillRect/>
                    </a:stretch>
                  </pic:blipFill>
                  <pic:spPr bwMode="auto">
                    <a:xfrm>
                      <a:off x="0" y="0"/>
                      <a:ext cx="5677535" cy="1354455"/>
                    </a:xfrm>
                    <a:prstGeom prst="rect">
                      <a:avLst/>
                    </a:prstGeom>
                    <a:noFill/>
                    <a:ln w="9525">
                      <a:noFill/>
                      <a:miter lim="800000"/>
                      <a:headEnd/>
                      <a:tailEnd/>
                    </a:ln>
                  </pic:spPr>
                </pic:pic>
              </a:graphicData>
            </a:graphic>
          </wp:inline>
        </w:drawing>
      </w:r>
    </w:p>
    <w:p w:rsidR="008C46DC" w:rsidRDefault="008C46D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A4561" w:rsidRDefault="008A456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A27E1" w:rsidRDefault="008A27E1"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A27E1" w:rsidRDefault="008A27E1"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A27E1" w:rsidRDefault="008A27E1"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A27E1" w:rsidRDefault="008A27E1"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A27E1" w:rsidRDefault="008A27E1"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EB1F5C" w:rsidRDefault="00EB1F5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EB1F5C" w:rsidRDefault="00EB1F5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EB1F5C" w:rsidRDefault="00EB1F5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EB1F5C" w:rsidRDefault="00EB1F5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EB1F5C" w:rsidRDefault="00EB1F5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EB1F5C" w:rsidRDefault="00EB1F5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527C7" w:rsidRPr="00657B8B" w:rsidRDefault="003A3DA7" w:rsidP="00C527C7">
      <w:pPr>
        <w:pStyle w:val="Heading1"/>
        <w:rPr>
          <w:rFonts w:ascii="Calibri" w:hAnsi="Calibri" w:cs="Calibri"/>
          <w:noProof/>
          <w:sz w:val="24"/>
          <w:szCs w:val="24"/>
        </w:rPr>
      </w:pPr>
      <w:r>
        <w:rPr>
          <w:rFonts w:ascii="Calibri" w:hAnsi="Calibri" w:cs="Calibri"/>
          <w:noProof/>
          <w:sz w:val="24"/>
          <w:szCs w:val="24"/>
        </w:rPr>
        <w:lastRenderedPageBreak/>
        <w:t xml:space="preserve">FINANSIJSKI INSTRUMENTI </w:t>
      </w:r>
      <w:r w:rsidR="00C527C7" w:rsidRPr="008A27E1">
        <w:rPr>
          <w:rFonts w:ascii="Calibri" w:hAnsi="Calibri" w:cs="Calibri"/>
          <w:noProof/>
          <w:sz w:val="24"/>
          <w:szCs w:val="24"/>
        </w:rPr>
        <w:t xml:space="preserve"> </w:t>
      </w:r>
      <w:r>
        <w:rPr>
          <w:rFonts w:ascii="Calibri" w:hAnsi="Calibri" w:cs="Calibri"/>
          <w:noProof/>
          <w:sz w:val="24"/>
          <w:szCs w:val="24"/>
        </w:rPr>
        <w:t xml:space="preserve">- </w:t>
      </w:r>
      <w:r w:rsidR="00C527C7" w:rsidRPr="008A27E1">
        <w:rPr>
          <w:rFonts w:ascii="Calibri" w:hAnsi="Calibri" w:cs="Calibri"/>
          <w:noProof/>
          <w:sz w:val="24"/>
          <w:szCs w:val="24"/>
        </w:rPr>
        <w:t>ON</w:t>
      </w:r>
      <w:r>
        <w:rPr>
          <w:rFonts w:ascii="Calibri" w:hAnsi="Calibri" w:cs="Calibri"/>
          <w:noProof/>
          <w:sz w:val="24"/>
          <w:szCs w:val="24"/>
        </w:rPr>
        <w:t>IF</w:t>
      </w:r>
      <w:r w:rsidR="00C84A1D" w:rsidRPr="008A27E1">
        <w:rPr>
          <w:rFonts w:ascii="Calibri" w:hAnsi="Calibri" w:cs="Calibri"/>
          <w:noProof/>
          <w:sz w:val="24"/>
          <w:szCs w:val="24"/>
        </w:rPr>
        <w:t xml:space="preserve"> </w:t>
      </w:r>
      <w:r w:rsidR="00C527C7" w:rsidRPr="008A27E1">
        <w:rPr>
          <w:rFonts w:ascii="Calibri" w:hAnsi="Calibri" w:cs="Calibri"/>
          <w:noProof/>
          <w:sz w:val="24"/>
          <w:szCs w:val="24"/>
        </w:rPr>
        <w:t xml:space="preserve">CASH FUND </w:t>
      </w:r>
    </w:p>
    <w:p w:rsidR="00C527C7" w:rsidRDefault="00C527C7"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413CC5" w:rsidRPr="00CE2847" w:rsidRDefault="00413CC5" w:rsidP="00413CC5">
      <w:pPr>
        <w:spacing w:before="200"/>
        <w:jc w:val="both"/>
        <w:rPr>
          <w:rFonts w:ascii="Calibri" w:hAnsi="Calibri"/>
          <w:b/>
          <w:szCs w:val="20"/>
          <w:lang w:val="sr-Latn-CS"/>
        </w:rPr>
      </w:pPr>
      <w:r>
        <w:rPr>
          <w:rFonts w:ascii="Calibri" w:hAnsi="Calibri"/>
          <w:b/>
          <w:szCs w:val="20"/>
          <w:lang w:val="sr-Latn-CS"/>
        </w:rPr>
        <w:t>Rizik promjene cijena finansijskog instrumenta</w:t>
      </w:r>
    </w:p>
    <w:p w:rsidR="00413CC5" w:rsidRPr="00CE2847" w:rsidRDefault="00413CC5" w:rsidP="00413CC5">
      <w:pPr>
        <w:spacing w:before="200"/>
        <w:jc w:val="both"/>
        <w:rPr>
          <w:rFonts w:ascii="Calibri" w:hAnsi="Calibri"/>
          <w:sz w:val="22"/>
          <w:szCs w:val="20"/>
          <w:lang w:val="sr-Latn-CS"/>
        </w:rPr>
      </w:pPr>
      <w:r>
        <w:rPr>
          <w:rFonts w:ascii="Calibri" w:hAnsi="Calibri"/>
          <w:sz w:val="22"/>
          <w:szCs w:val="20"/>
          <w:lang w:val="sr-Latn-CS"/>
        </w:rPr>
        <w:t>Rizik promjene cijena finansijskog instrumenta</w:t>
      </w:r>
      <w:r w:rsidRPr="00CE2847">
        <w:rPr>
          <w:rFonts w:ascii="Calibri" w:hAnsi="Calibri"/>
          <w:sz w:val="22"/>
          <w:szCs w:val="20"/>
          <w:lang w:val="sr-Latn-CS"/>
        </w:rPr>
        <w:t xml:space="preserve"> je rizik od mogućih promjena tržišnih cijena usljed kojih može doći do promjene vrijednosti finansijskih instrumenata koje Fond ima u svom portfelju. Fond je izložen značajnom riziku promjene cijena finansijskih instrumenata, s obzirom na to da fond ima značajno ulaganje u finanasijske instrumente  kojima se trguje na berzama hartija od vrijednosti. </w:t>
      </w:r>
    </w:p>
    <w:p w:rsidR="00413CC5" w:rsidRDefault="00413CC5" w:rsidP="00413CC5">
      <w:pPr>
        <w:spacing w:before="200"/>
        <w:jc w:val="both"/>
        <w:rPr>
          <w:rFonts w:ascii="Calibri" w:hAnsi="Calibri"/>
          <w:sz w:val="22"/>
          <w:szCs w:val="20"/>
          <w:lang w:val="sr-Latn-CS"/>
        </w:rPr>
      </w:pPr>
      <w:r w:rsidRPr="00CE2847">
        <w:rPr>
          <w:rFonts w:ascii="Calibri" w:hAnsi="Calibri"/>
          <w:sz w:val="22"/>
          <w:szCs w:val="20"/>
          <w:lang w:val="sr-Latn-CS"/>
        </w:rPr>
        <w:t xml:space="preserve">U narednoj tabeli prikazano je deset prvih pozicija po učešću u imovini </w:t>
      </w:r>
      <w:r>
        <w:rPr>
          <w:rFonts w:ascii="Calibri" w:hAnsi="Calibri"/>
          <w:sz w:val="22"/>
          <w:szCs w:val="20"/>
          <w:lang w:val="sr-Latn-CS"/>
        </w:rPr>
        <w:t>Kristal cash plus</w:t>
      </w:r>
      <w:r w:rsidRPr="00CE2847">
        <w:rPr>
          <w:rFonts w:ascii="Calibri" w:hAnsi="Calibri"/>
          <w:sz w:val="22"/>
          <w:szCs w:val="20"/>
          <w:lang w:val="sr-Latn-CS"/>
        </w:rPr>
        <w:t xml:space="preserve"> fund na dan </w:t>
      </w:r>
      <w:r w:rsidRPr="00FC6A62">
        <w:rPr>
          <w:rFonts w:ascii="Calibri" w:hAnsi="Calibri"/>
          <w:b/>
          <w:sz w:val="22"/>
          <w:szCs w:val="20"/>
          <w:lang w:val="sr-Latn-CS"/>
        </w:rPr>
        <w:t>31.12.2018</w:t>
      </w:r>
      <w:r w:rsidRPr="00CE2847">
        <w:rPr>
          <w:rFonts w:ascii="Calibri" w:hAnsi="Calibri"/>
          <w:sz w:val="22"/>
          <w:szCs w:val="20"/>
          <w:lang w:val="sr-Latn-CS"/>
        </w:rPr>
        <w:t>. godine.</w:t>
      </w:r>
    </w:p>
    <w:p w:rsidR="00413CC5" w:rsidRDefault="00413CC5" w:rsidP="00413CC5">
      <w:pPr>
        <w:spacing w:before="200"/>
        <w:rPr>
          <w:rFonts w:ascii="Calibri" w:hAnsi="Calibri"/>
          <w:sz w:val="22"/>
          <w:szCs w:val="20"/>
          <w:lang w:val="sr-Latn-CS"/>
        </w:rPr>
      </w:pPr>
      <w:r>
        <w:rPr>
          <w:noProof/>
          <w:lang w:val="sr-Latn-BA" w:eastAsia="sr-Latn-BA"/>
        </w:rPr>
        <w:drawing>
          <wp:inline distT="0" distB="0" distL="0" distR="0">
            <wp:extent cx="5774079" cy="1989744"/>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75832" cy="1990348"/>
                    </a:xfrm>
                    <a:prstGeom prst="rect">
                      <a:avLst/>
                    </a:prstGeom>
                    <a:noFill/>
                    <a:ln w="9525">
                      <a:noFill/>
                      <a:miter lim="800000"/>
                      <a:headEnd/>
                      <a:tailEnd/>
                    </a:ln>
                  </pic:spPr>
                </pic:pic>
              </a:graphicData>
            </a:graphic>
          </wp:inline>
        </w:drawing>
      </w:r>
    </w:p>
    <w:p w:rsidR="00413CC5" w:rsidRDefault="00413CC5" w:rsidP="00413CC5">
      <w:pPr>
        <w:spacing w:before="200"/>
        <w:jc w:val="both"/>
        <w:rPr>
          <w:rFonts w:ascii="Calibri" w:hAnsi="Calibri"/>
          <w:sz w:val="22"/>
          <w:szCs w:val="20"/>
          <w:lang w:val="sr-Latn-CS"/>
        </w:rPr>
      </w:pPr>
      <w:r>
        <w:rPr>
          <w:rFonts w:ascii="Calibri" w:hAnsi="Calibri"/>
          <w:sz w:val="22"/>
          <w:szCs w:val="20"/>
          <w:lang w:val="sr-Latn-CS"/>
        </w:rPr>
        <w:t xml:space="preserve">Posmatrajući hartije od vrijednosti koje Fond ima u svom portfelju najveći uticaj na promjenu vrijednosti imovine Fonda ima cijena hartije od vrijednosti oznake KCPP-U-A. Promjena tržišne cijene predmetne hartije od vrijednosti za +/-1% uslovila bi promjenu vrijednosti ulaganja fonda u iznosu od oko +/-1.715 KM. </w:t>
      </w:r>
    </w:p>
    <w:p w:rsidR="00413CC5" w:rsidRPr="00C01918" w:rsidRDefault="00413CC5" w:rsidP="00413CC5">
      <w:pPr>
        <w:spacing w:before="200"/>
        <w:jc w:val="both"/>
        <w:rPr>
          <w:rFonts w:ascii="Calibri" w:hAnsi="Calibri"/>
          <w:sz w:val="22"/>
          <w:szCs w:val="20"/>
          <w:lang w:val="sr-Latn-CS"/>
        </w:rPr>
      </w:pPr>
      <w:r w:rsidRPr="00ED5177">
        <w:rPr>
          <w:rFonts w:ascii="Calibri" w:hAnsi="Calibri"/>
          <w:sz w:val="22"/>
          <w:szCs w:val="20"/>
          <w:lang w:val="sr-Latn-CS"/>
        </w:rPr>
        <w:t>Fond upravlja</w:t>
      </w:r>
      <w:r>
        <w:rPr>
          <w:rFonts w:ascii="Calibri" w:hAnsi="Calibri"/>
          <w:sz w:val="22"/>
          <w:szCs w:val="20"/>
          <w:lang w:val="sr-Latn-CS"/>
        </w:rPr>
        <w:t xml:space="preserve"> tržišnim (cjenovnim) rizikom</w:t>
      </w:r>
      <w:r w:rsidRPr="00ED5177">
        <w:rPr>
          <w:rFonts w:ascii="Calibri" w:hAnsi="Calibri"/>
          <w:sz w:val="22"/>
          <w:szCs w:val="20"/>
          <w:lang w:val="sr-Latn-CS"/>
        </w:rPr>
        <w:t xml:space="preserve"> diverzifikacijom svog investicionog portfelja</w:t>
      </w:r>
      <w:r w:rsidRPr="00ED5177">
        <w:rPr>
          <w:rFonts w:ascii="Calibri" w:hAnsi="Calibri"/>
          <w:i/>
          <w:sz w:val="22"/>
          <w:szCs w:val="20"/>
          <w:lang w:val="sr-Latn-CS"/>
        </w:rPr>
        <w:t xml:space="preserve">. </w:t>
      </w:r>
    </w:p>
    <w:p w:rsidR="00413CC5" w:rsidRPr="00CE2847" w:rsidRDefault="00413CC5" w:rsidP="00413CC5">
      <w:pPr>
        <w:spacing w:before="200"/>
        <w:jc w:val="both"/>
        <w:rPr>
          <w:rFonts w:ascii="Calibri" w:hAnsi="Calibri"/>
          <w:b/>
          <w:szCs w:val="20"/>
          <w:lang w:val="sr-Latn-CS"/>
        </w:rPr>
      </w:pPr>
      <w:r w:rsidRPr="00CE2847">
        <w:rPr>
          <w:rFonts w:ascii="Calibri" w:hAnsi="Calibri"/>
          <w:b/>
          <w:szCs w:val="20"/>
          <w:lang w:val="sr-Latn-CS"/>
        </w:rPr>
        <w:t>Valutni rizik</w:t>
      </w:r>
    </w:p>
    <w:p w:rsidR="00413CC5" w:rsidRPr="00CE2847" w:rsidRDefault="00413CC5" w:rsidP="00413CC5">
      <w:pPr>
        <w:spacing w:before="200"/>
        <w:jc w:val="both"/>
        <w:rPr>
          <w:rFonts w:ascii="Calibri" w:hAnsi="Calibri"/>
          <w:sz w:val="22"/>
          <w:szCs w:val="20"/>
          <w:lang w:val="sr-Latn-CS"/>
        </w:rPr>
      </w:pPr>
      <w:r w:rsidRPr="00CE2847">
        <w:rPr>
          <w:rFonts w:ascii="Calibri" w:hAnsi="Calibri"/>
          <w:sz w:val="22"/>
          <w:szCs w:val="20"/>
          <w:lang w:val="sr-Latn-CS"/>
        </w:rPr>
        <w:t>Valutni rizik je rizik gubitka vrijednosti imovine Fonda zbog promjene vrijednosti jedne valute u odnosu na drugu.  Službena valuta u Bosni i Hercegovini je konvertibilna marka (KM), a imovina Fonda iskazana u stranoj valuti preračunava se u KM primjenom važećeg kursa na dan bilansa. Kursne razlike utiču na prihode fonda, ali ne utiču na njegove novčane tokove. U narednoj tabeli prikazana je struktura imovine Fonda po pojedinoj valuti.</w:t>
      </w:r>
    </w:p>
    <w:p w:rsidR="00413CC5" w:rsidRPr="00CE2847" w:rsidRDefault="00413CC5" w:rsidP="00413CC5">
      <w:pPr>
        <w:spacing w:before="200"/>
        <w:jc w:val="both"/>
        <w:rPr>
          <w:rFonts w:ascii="Calibri" w:hAnsi="Calibri"/>
          <w:sz w:val="22"/>
          <w:szCs w:val="20"/>
          <w:lang w:val="sr-Latn-CS"/>
        </w:rPr>
      </w:pPr>
      <w:r w:rsidRPr="00CE2847">
        <w:rPr>
          <w:rFonts w:ascii="Calibri" w:hAnsi="Calibri"/>
          <w:sz w:val="22"/>
          <w:szCs w:val="20"/>
          <w:lang w:val="sr-Latn-CS"/>
        </w:rPr>
        <w:t xml:space="preserve">Stanje na dan </w:t>
      </w:r>
      <w:r w:rsidRPr="0012346C">
        <w:rPr>
          <w:rFonts w:ascii="Calibri" w:hAnsi="Calibri"/>
          <w:b/>
          <w:sz w:val="22"/>
          <w:szCs w:val="20"/>
          <w:lang w:val="sr-Latn-CS"/>
        </w:rPr>
        <w:t>31.12.2018</w:t>
      </w:r>
      <w:r w:rsidRPr="00CE2847">
        <w:rPr>
          <w:rFonts w:ascii="Calibri" w:hAnsi="Calibri"/>
          <w:sz w:val="22"/>
          <w:szCs w:val="20"/>
          <w:lang w:val="sr-Latn-CS"/>
        </w:rPr>
        <w:t>.godine:</w:t>
      </w:r>
      <w:r>
        <w:rPr>
          <w:rFonts w:ascii="Calibri" w:hAnsi="Calibri"/>
          <w:sz w:val="22"/>
          <w:szCs w:val="20"/>
          <w:lang w:val="sr-Latn-CS"/>
        </w:rPr>
        <w:t xml:space="preserve"> </w:t>
      </w:r>
    </w:p>
    <w:p w:rsidR="00413CC5" w:rsidRDefault="00413CC5" w:rsidP="00413CC5">
      <w:pPr>
        <w:spacing w:before="200"/>
        <w:jc w:val="both"/>
      </w:pPr>
      <w:r>
        <w:rPr>
          <w:noProof/>
          <w:lang w:val="sr-Latn-BA" w:eastAsia="sr-Latn-BA"/>
        </w:rPr>
        <w:lastRenderedPageBreak/>
        <w:drawing>
          <wp:inline distT="0" distB="0" distL="0" distR="0">
            <wp:extent cx="5640970" cy="241961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649089" cy="2423093"/>
                    </a:xfrm>
                    <a:prstGeom prst="rect">
                      <a:avLst/>
                    </a:prstGeom>
                    <a:noFill/>
                    <a:ln w="9525">
                      <a:noFill/>
                      <a:miter lim="800000"/>
                      <a:headEnd/>
                      <a:tailEnd/>
                    </a:ln>
                  </pic:spPr>
                </pic:pic>
              </a:graphicData>
            </a:graphic>
          </wp:inline>
        </w:drawing>
      </w:r>
    </w:p>
    <w:p w:rsidR="00413CC5" w:rsidRPr="00CE2847" w:rsidRDefault="00413CC5" w:rsidP="00413CC5">
      <w:pPr>
        <w:spacing w:before="200"/>
        <w:jc w:val="both"/>
        <w:rPr>
          <w:rFonts w:ascii="Calibri" w:hAnsi="Calibri"/>
          <w:sz w:val="22"/>
          <w:szCs w:val="20"/>
          <w:lang w:val="sr-Latn-CS"/>
        </w:rPr>
      </w:pPr>
      <w:r w:rsidRPr="00CE2847">
        <w:rPr>
          <w:rFonts w:ascii="Calibri" w:hAnsi="Calibri"/>
          <w:sz w:val="22"/>
          <w:szCs w:val="20"/>
          <w:lang w:val="sr-Latn-CS"/>
        </w:rPr>
        <w:t>Na dan 31.12.201</w:t>
      </w:r>
      <w:r>
        <w:rPr>
          <w:rFonts w:ascii="Calibri" w:hAnsi="Calibri"/>
          <w:sz w:val="22"/>
          <w:szCs w:val="20"/>
          <w:lang w:val="sr-Latn-CS"/>
        </w:rPr>
        <w:t>8</w:t>
      </w:r>
      <w:r w:rsidRPr="00CE2847">
        <w:rPr>
          <w:rFonts w:ascii="Calibri" w:hAnsi="Calibri"/>
          <w:sz w:val="22"/>
          <w:szCs w:val="20"/>
          <w:lang w:val="sr-Latn-CS"/>
        </w:rPr>
        <w:t xml:space="preserve">. godine u domaćoj valuti je iskazano </w:t>
      </w:r>
      <w:r>
        <w:rPr>
          <w:rFonts w:ascii="Calibri" w:hAnsi="Calibri"/>
          <w:sz w:val="22"/>
          <w:szCs w:val="20"/>
          <w:lang w:val="sr-Latn-CS"/>
        </w:rPr>
        <w:t>100,00</w:t>
      </w:r>
      <w:r w:rsidRPr="00CE2847">
        <w:rPr>
          <w:rFonts w:ascii="Calibri" w:hAnsi="Calibri"/>
          <w:sz w:val="22"/>
          <w:szCs w:val="20"/>
          <w:lang w:val="sr-Latn-CS"/>
        </w:rPr>
        <w:t xml:space="preserve"> %  imovine Fonda</w:t>
      </w:r>
      <w:r>
        <w:rPr>
          <w:rFonts w:ascii="Calibri" w:hAnsi="Calibri"/>
          <w:sz w:val="22"/>
          <w:szCs w:val="20"/>
          <w:lang w:val="sr-Latn-CS"/>
        </w:rPr>
        <w:t xml:space="preserve"> tako da imovina</w:t>
      </w:r>
      <w:r w:rsidRPr="00CE2847">
        <w:rPr>
          <w:rFonts w:ascii="Calibri" w:hAnsi="Calibri"/>
          <w:sz w:val="22"/>
          <w:szCs w:val="20"/>
          <w:lang w:val="sr-Latn-CS"/>
        </w:rPr>
        <w:t xml:space="preserve"> Fonda</w:t>
      </w:r>
      <w:r>
        <w:rPr>
          <w:rFonts w:ascii="Calibri" w:hAnsi="Calibri"/>
          <w:sz w:val="22"/>
          <w:szCs w:val="20"/>
          <w:lang w:val="sr-Latn-CS"/>
        </w:rPr>
        <w:t>, na dan vršenja kontrole,</w:t>
      </w:r>
      <w:r w:rsidRPr="00CE2847">
        <w:rPr>
          <w:rFonts w:ascii="Calibri" w:hAnsi="Calibri"/>
          <w:sz w:val="22"/>
          <w:szCs w:val="20"/>
          <w:lang w:val="sr-Latn-CS"/>
        </w:rPr>
        <w:t xml:space="preserve"> nije izložen</w:t>
      </w:r>
      <w:r>
        <w:rPr>
          <w:rFonts w:ascii="Calibri" w:hAnsi="Calibri"/>
          <w:sz w:val="22"/>
          <w:szCs w:val="20"/>
          <w:lang w:val="sr-Latn-CS"/>
        </w:rPr>
        <w:t>a</w:t>
      </w:r>
      <w:r w:rsidRPr="00CE2847">
        <w:rPr>
          <w:rFonts w:ascii="Calibri" w:hAnsi="Calibri"/>
          <w:sz w:val="22"/>
          <w:szCs w:val="20"/>
          <w:lang w:val="sr-Latn-CS"/>
        </w:rPr>
        <w:t xml:space="preserve"> valutnom ri</w:t>
      </w:r>
      <w:r>
        <w:rPr>
          <w:rFonts w:ascii="Calibri" w:hAnsi="Calibri"/>
          <w:sz w:val="22"/>
          <w:szCs w:val="20"/>
          <w:lang w:val="sr-Latn-CS"/>
        </w:rPr>
        <w:t xml:space="preserve">ziku. </w:t>
      </w:r>
    </w:p>
    <w:p w:rsidR="00413CC5" w:rsidRPr="00CE2847" w:rsidRDefault="00413CC5" w:rsidP="00413CC5">
      <w:pPr>
        <w:spacing w:before="200"/>
        <w:jc w:val="both"/>
        <w:rPr>
          <w:rFonts w:ascii="Calibri" w:hAnsi="Calibri"/>
          <w:b/>
          <w:szCs w:val="20"/>
          <w:lang w:val="sr-Latn-CS"/>
        </w:rPr>
      </w:pPr>
      <w:r w:rsidRPr="00CE2847">
        <w:rPr>
          <w:rFonts w:ascii="Calibri" w:hAnsi="Calibri"/>
          <w:b/>
          <w:szCs w:val="20"/>
          <w:lang w:val="sr-Latn-CS"/>
        </w:rPr>
        <w:t xml:space="preserve">Kamatni rizik </w:t>
      </w:r>
    </w:p>
    <w:p w:rsidR="00413CC5" w:rsidRDefault="00413CC5" w:rsidP="00413CC5">
      <w:pPr>
        <w:spacing w:before="200"/>
        <w:jc w:val="both"/>
        <w:rPr>
          <w:rFonts w:ascii="Calibri" w:hAnsi="Calibri"/>
          <w:sz w:val="22"/>
          <w:szCs w:val="20"/>
          <w:lang w:val="sr-Latn-CS"/>
        </w:rPr>
      </w:pPr>
      <w:r w:rsidRPr="00CE2847">
        <w:rPr>
          <w:rFonts w:ascii="Calibri" w:hAnsi="Calibri"/>
          <w:sz w:val="22"/>
          <w:szCs w:val="20"/>
          <w:lang w:val="sr-Latn-CS"/>
        </w:rPr>
        <w:t xml:space="preserve">Imovina Fonda investirana je u vlasničke hartije od vrijednosti i depozite kod banaka sa rokovima dospijeća </w:t>
      </w:r>
      <w:r>
        <w:rPr>
          <w:rFonts w:ascii="Calibri" w:hAnsi="Calibri"/>
          <w:sz w:val="22"/>
          <w:szCs w:val="20"/>
          <w:lang w:val="sr-Latn-CS"/>
        </w:rPr>
        <w:t>do 13</w:t>
      </w:r>
      <w:r w:rsidRPr="00CE2847">
        <w:rPr>
          <w:rFonts w:ascii="Calibri" w:hAnsi="Calibri"/>
          <w:sz w:val="22"/>
          <w:szCs w:val="20"/>
          <w:lang w:val="sr-Latn-CS"/>
        </w:rPr>
        <w:t xml:space="preserve"> mjesec</w:t>
      </w:r>
      <w:r>
        <w:rPr>
          <w:rFonts w:ascii="Calibri" w:hAnsi="Calibri"/>
          <w:sz w:val="22"/>
          <w:szCs w:val="20"/>
          <w:lang w:val="sr-Latn-CS"/>
        </w:rPr>
        <w:t>i</w:t>
      </w:r>
      <w:r w:rsidRPr="00CE2847">
        <w:rPr>
          <w:rFonts w:ascii="Calibri" w:hAnsi="Calibri"/>
          <w:sz w:val="22"/>
          <w:szCs w:val="20"/>
          <w:lang w:val="sr-Latn-CS"/>
        </w:rPr>
        <w:t xml:space="preserve">. Iako najveći dio imovine nije kamatno osjetljiv, portfelj Fonda sadrži i instrumente zavisne od kretanja tržišnih kamatnih stopa. Ova imovina obuhvata finansijske plasmane. U pogledu upravljanja ovim rizikom, ugovarali su se rokovi dospijeća oročenih depozita koji se podudaraju sa procjenom roka u kojem ova sredstva neće biti korištena za kupovinu hartija od vrijednosti. U narednoj tabeli su prikazani podaci o imovini i obavezama Fonda, iskazani po fer vrijednosti i ravrstani prema ugovornoj promjeni cijene ili datumu dospijeća, prema tome šta je ranije.  </w:t>
      </w:r>
    </w:p>
    <w:p w:rsidR="00413CC5" w:rsidRDefault="00413CC5" w:rsidP="00413CC5">
      <w:pPr>
        <w:spacing w:before="200"/>
        <w:jc w:val="both"/>
        <w:rPr>
          <w:rFonts w:ascii="Calibri" w:hAnsi="Calibri"/>
          <w:sz w:val="22"/>
          <w:szCs w:val="20"/>
          <w:lang w:val="sr-Latn-CS"/>
        </w:rPr>
      </w:pPr>
      <w:r>
        <w:rPr>
          <w:rFonts w:ascii="Calibri" w:hAnsi="Calibri"/>
          <w:sz w:val="22"/>
          <w:szCs w:val="20"/>
          <w:lang w:val="sr-Latn-CS"/>
        </w:rPr>
        <w:t xml:space="preserve">Stanje na dan </w:t>
      </w:r>
      <w:r w:rsidRPr="00C221C3">
        <w:rPr>
          <w:rFonts w:ascii="Calibri" w:hAnsi="Calibri"/>
          <w:b/>
          <w:sz w:val="22"/>
          <w:szCs w:val="20"/>
          <w:lang w:val="sr-Latn-CS"/>
        </w:rPr>
        <w:t>31.12.2018</w:t>
      </w:r>
    </w:p>
    <w:p w:rsidR="00413CC5" w:rsidRDefault="00413CC5" w:rsidP="00413CC5">
      <w:pPr>
        <w:rPr>
          <w:rFonts w:ascii="Calibri" w:hAnsi="Calibri"/>
          <w:sz w:val="22"/>
          <w:szCs w:val="20"/>
          <w:lang w:val="sr-Latn-CS"/>
        </w:rPr>
      </w:pPr>
    </w:p>
    <w:p w:rsidR="00413CC5" w:rsidRPr="00B66BDB" w:rsidRDefault="00413CC5" w:rsidP="00413CC5">
      <w:pPr>
        <w:rPr>
          <w:rFonts w:ascii="Calibri" w:hAnsi="Calibri"/>
          <w:sz w:val="22"/>
          <w:szCs w:val="20"/>
          <w:lang w:val="sr-Latn-CS"/>
        </w:rPr>
      </w:pPr>
      <w:r>
        <w:rPr>
          <w:noProof/>
          <w:lang w:val="sr-Latn-BA" w:eastAsia="sr-Latn-BA"/>
        </w:rPr>
        <w:drawing>
          <wp:inline distT="0" distB="0" distL="0" distR="0">
            <wp:extent cx="5600458" cy="2441990"/>
            <wp:effectExtent l="19050" t="0" r="242"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608571" cy="2445527"/>
                    </a:xfrm>
                    <a:prstGeom prst="rect">
                      <a:avLst/>
                    </a:prstGeom>
                    <a:noFill/>
                    <a:ln w="9525">
                      <a:noFill/>
                      <a:miter lim="800000"/>
                      <a:headEnd/>
                      <a:tailEnd/>
                    </a:ln>
                  </pic:spPr>
                </pic:pic>
              </a:graphicData>
            </a:graphic>
          </wp:inline>
        </w:drawing>
      </w:r>
    </w:p>
    <w:p w:rsidR="00413CC5" w:rsidRDefault="00413CC5" w:rsidP="00413CC5">
      <w:pPr>
        <w:spacing w:before="200"/>
        <w:jc w:val="both"/>
        <w:rPr>
          <w:rFonts w:ascii="Calibri" w:hAnsi="Calibri"/>
          <w:sz w:val="22"/>
          <w:szCs w:val="20"/>
          <w:lang w:val="sr-Latn-CS"/>
        </w:rPr>
      </w:pPr>
    </w:p>
    <w:p w:rsidR="00413CC5" w:rsidRPr="00CE2847" w:rsidRDefault="00413CC5" w:rsidP="00413CC5">
      <w:pPr>
        <w:spacing w:before="200"/>
        <w:jc w:val="both"/>
        <w:rPr>
          <w:rFonts w:ascii="Calibri" w:hAnsi="Calibri"/>
          <w:sz w:val="22"/>
          <w:szCs w:val="20"/>
          <w:lang w:val="sr-Latn-CS"/>
        </w:rPr>
      </w:pPr>
      <w:r w:rsidRPr="00CE2847">
        <w:rPr>
          <w:rFonts w:ascii="Calibri" w:hAnsi="Calibri"/>
          <w:sz w:val="22"/>
          <w:szCs w:val="20"/>
          <w:lang w:val="sr-Latn-CS"/>
        </w:rPr>
        <w:lastRenderedPageBreak/>
        <w:t>Pretpostavljeni scenario viših/nižih kamatnih stopa na imovinu pod rizikom na dan 31.12.201</w:t>
      </w:r>
      <w:r>
        <w:rPr>
          <w:rFonts w:ascii="Calibri" w:hAnsi="Calibri"/>
          <w:sz w:val="22"/>
          <w:szCs w:val="20"/>
          <w:lang w:val="sr-Latn-CS"/>
        </w:rPr>
        <w:t>8</w:t>
      </w:r>
      <w:r w:rsidRPr="00CE2847">
        <w:rPr>
          <w:rFonts w:ascii="Calibri" w:hAnsi="Calibri"/>
          <w:sz w:val="22"/>
          <w:szCs w:val="20"/>
          <w:lang w:val="sr-Latn-CS"/>
        </w:rPr>
        <w:t xml:space="preserve">. godine, za 0.1 procentni poen na godišnjem nivou u odnosu na važeće kamatne stope na dan bilansa i uz ostale nepromijenjene varijable, uticao bi na povećanje/smanjenje neto dobitka Fonda za iznos od  </w:t>
      </w:r>
      <w:r>
        <w:rPr>
          <w:rFonts w:ascii="Calibri" w:hAnsi="Calibri"/>
          <w:sz w:val="22"/>
          <w:szCs w:val="20"/>
          <w:lang w:val="sr-Latn-CS"/>
        </w:rPr>
        <w:t>16.11</w:t>
      </w:r>
      <w:r w:rsidRPr="00CE2847">
        <w:rPr>
          <w:rFonts w:ascii="Calibri" w:hAnsi="Calibri"/>
          <w:sz w:val="22"/>
          <w:szCs w:val="20"/>
          <w:lang w:val="sr-Latn-CS"/>
        </w:rPr>
        <w:t xml:space="preserve"> </w:t>
      </w:r>
      <w:r>
        <w:rPr>
          <w:rFonts w:ascii="Calibri" w:hAnsi="Calibri"/>
          <w:sz w:val="22"/>
          <w:szCs w:val="20"/>
          <w:lang w:val="sr-Latn-CS"/>
        </w:rPr>
        <w:t>KM</w:t>
      </w:r>
      <w:r w:rsidRPr="00CE2847">
        <w:rPr>
          <w:rFonts w:ascii="Calibri" w:hAnsi="Calibri"/>
          <w:sz w:val="22"/>
          <w:szCs w:val="20"/>
          <w:lang w:val="sr-Latn-CS"/>
        </w:rPr>
        <w:t>.</w:t>
      </w:r>
    </w:p>
    <w:p w:rsidR="00413CC5" w:rsidRPr="00CE2847" w:rsidRDefault="00413CC5" w:rsidP="00413CC5">
      <w:pPr>
        <w:spacing w:before="200"/>
        <w:jc w:val="both"/>
        <w:rPr>
          <w:rFonts w:ascii="Calibri" w:hAnsi="Calibri"/>
          <w:b/>
          <w:lang w:val="sr-Latn-CS"/>
        </w:rPr>
      </w:pPr>
      <w:r w:rsidRPr="00CE2847">
        <w:rPr>
          <w:rFonts w:ascii="Calibri" w:hAnsi="Calibri"/>
          <w:b/>
          <w:lang w:val="sr-Latn-CS"/>
        </w:rPr>
        <w:t>Rizik likvidnosti</w:t>
      </w:r>
    </w:p>
    <w:p w:rsidR="00413CC5" w:rsidRPr="00CE2847" w:rsidRDefault="00413CC5" w:rsidP="00413CC5">
      <w:pPr>
        <w:jc w:val="both"/>
        <w:rPr>
          <w:rFonts w:ascii="Calibri" w:hAnsi="Calibri"/>
          <w:lang w:val="sr-Latn-CS"/>
        </w:rPr>
      </w:pPr>
    </w:p>
    <w:p w:rsidR="00413CC5" w:rsidRPr="00CE2847" w:rsidRDefault="00413CC5" w:rsidP="00413CC5">
      <w:pPr>
        <w:jc w:val="both"/>
        <w:rPr>
          <w:rFonts w:ascii="Calibri" w:hAnsi="Calibri"/>
          <w:sz w:val="22"/>
          <w:lang w:val="sr-Latn-CS"/>
        </w:rPr>
      </w:pPr>
      <w:r w:rsidRPr="00CE2847">
        <w:rPr>
          <w:rFonts w:ascii="Calibri" w:hAnsi="Calibri"/>
          <w:sz w:val="22"/>
          <w:lang w:val="sr-Latn-CS"/>
        </w:rPr>
        <w:t>Fond raspolaže dovoljnim iznosom likvidnih sredstava i ima kontinuirani priliv novčanih sredstava iz poslovnih aktivnosti, što omogućava da Fond svoje obaveze izmiruje u roku dospijeća. Fond ne koristi derivativne finansijske instrumente.</w:t>
      </w:r>
    </w:p>
    <w:p w:rsidR="00413CC5" w:rsidRDefault="00413CC5" w:rsidP="00413CC5">
      <w:pPr>
        <w:jc w:val="both"/>
        <w:rPr>
          <w:rFonts w:ascii="Calibri" w:hAnsi="Calibri"/>
          <w:sz w:val="22"/>
          <w:lang w:val="sr-Latn-CS"/>
        </w:rPr>
      </w:pPr>
      <w:r w:rsidRPr="00CE2847">
        <w:rPr>
          <w:rFonts w:ascii="Calibri" w:hAnsi="Calibri"/>
          <w:sz w:val="22"/>
          <w:lang w:val="sr-Latn-CS"/>
        </w:rPr>
        <w:t xml:space="preserve">S obzirom na slabiju likvidnost našeg tržišta kapitala, a na kojima je </w:t>
      </w:r>
      <w:r>
        <w:rPr>
          <w:rFonts w:ascii="Calibri" w:hAnsi="Calibri"/>
          <w:sz w:val="22"/>
          <w:lang w:val="sr-Latn-CS"/>
        </w:rPr>
        <w:t>u potpunosti</w:t>
      </w:r>
      <w:r w:rsidRPr="00CE2847">
        <w:rPr>
          <w:rFonts w:ascii="Calibri" w:hAnsi="Calibri"/>
          <w:sz w:val="22"/>
          <w:lang w:val="sr-Latn-CS"/>
        </w:rPr>
        <w:t xml:space="preserve"> plasirana imovina Fonda, prisutan je u određenoj mjeri i rizik likvidnosti imovine Fonda. Društvo upravlja imovinom i obavezama Fonda na način koji obezbjeđuje da Fond u svakom trenutku ispunjava svoje obaveze. U narednoj tabeli prikazan je pregled ročnosti finansijske imovine i obaveza Fonda na dan izvještavanja prema najranijem očekivanom datumu dospijeća, uključujući i kamatu koja će biti zarađena.</w:t>
      </w:r>
    </w:p>
    <w:p w:rsidR="00413CC5" w:rsidRDefault="00413CC5" w:rsidP="00413CC5">
      <w:pPr>
        <w:jc w:val="both"/>
        <w:rPr>
          <w:rFonts w:ascii="Calibri" w:hAnsi="Calibri"/>
          <w:sz w:val="22"/>
          <w:lang w:val="sr-Latn-CS"/>
        </w:rPr>
      </w:pPr>
      <w:r>
        <w:rPr>
          <w:rFonts w:ascii="Calibri" w:hAnsi="Calibri"/>
          <w:sz w:val="22"/>
          <w:lang w:val="sr-Latn-CS"/>
        </w:rPr>
        <w:t xml:space="preserve">Stanje na dan </w:t>
      </w:r>
      <w:r w:rsidRPr="00C221C3">
        <w:rPr>
          <w:rFonts w:ascii="Calibri" w:hAnsi="Calibri"/>
          <w:b/>
          <w:sz w:val="22"/>
          <w:lang w:val="sr-Latn-CS"/>
        </w:rPr>
        <w:t>31.12.201</w:t>
      </w:r>
      <w:r>
        <w:rPr>
          <w:rFonts w:ascii="Calibri" w:hAnsi="Calibri"/>
          <w:b/>
          <w:sz w:val="22"/>
          <w:lang w:val="sr-Latn-CS"/>
        </w:rPr>
        <w:t>8</w:t>
      </w:r>
    </w:p>
    <w:p w:rsidR="00413CC5" w:rsidRPr="00CE2847" w:rsidRDefault="00413CC5" w:rsidP="00413CC5">
      <w:pPr>
        <w:jc w:val="both"/>
        <w:rPr>
          <w:rFonts w:ascii="Calibri" w:hAnsi="Calibri"/>
          <w:sz w:val="22"/>
          <w:lang w:val="sr-Latn-CS"/>
        </w:rPr>
      </w:pPr>
    </w:p>
    <w:p w:rsidR="00413CC5" w:rsidRDefault="00413CC5" w:rsidP="00413CC5">
      <w:pPr>
        <w:jc w:val="both"/>
        <w:rPr>
          <w:rFonts w:ascii="Calibri" w:hAnsi="Calibri"/>
          <w:sz w:val="22"/>
          <w:lang w:val="sr-Latn-CS"/>
        </w:rPr>
      </w:pPr>
      <w:r>
        <w:rPr>
          <w:noProof/>
          <w:lang w:val="sr-Latn-BA" w:eastAsia="sr-Latn-BA"/>
        </w:rPr>
        <w:drawing>
          <wp:inline distT="0" distB="0" distL="0" distR="0">
            <wp:extent cx="5646757" cy="251592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653344" cy="2518864"/>
                    </a:xfrm>
                    <a:prstGeom prst="rect">
                      <a:avLst/>
                    </a:prstGeom>
                    <a:noFill/>
                    <a:ln w="9525">
                      <a:noFill/>
                      <a:miter lim="800000"/>
                      <a:headEnd/>
                      <a:tailEnd/>
                    </a:ln>
                  </pic:spPr>
                </pic:pic>
              </a:graphicData>
            </a:graphic>
          </wp:inline>
        </w:drawing>
      </w:r>
    </w:p>
    <w:p w:rsidR="00413CC5" w:rsidRDefault="00413CC5" w:rsidP="00413CC5">
      <w:pPr>
        <w:jc w:val="both"/>
        <w:rPr>
          <w:rFonts w:ascii="Calibri" w:hAnsi="Calibri"/>
          <w:sz w:val="22"/>
          <w:lang w:val="sr-Latn-CS"/>
        </w:rPr>
      </w:pPr>
    </w:p>
    <w:p w:rsidR="00413CC5" w:rsidRDefault="00413CC5" w:rsidP="00413CC5">
      <w:pPr>
        <w:jc w:val="both"/>
        <w:rPr>
          <w:rFonts w:ascii="Calibri" w:hAnsi="Calibri"/>
          <w:sz w:val="22"/>
          <w:lang w:val="sr-Latn-CS"/>
        </w:rPr>
      </w:pPr>
    </w:p>
    <w:p w:rsidR="00413CC5" w:rsidRPr="00CE2847" w:rsidRDefault="00413CC5" w:rsidP="00413CC5">
      <w:pPr>
        <w:spacing w:before="200"/>
        <w:jc w:val="both"/>
        <w:rPr>
          <w:rFonts w:ascii="Calibri" w:hAnsi="Calibri"/>
          <w:b/>
          <w:szCs w:val="20"/>
          <w:lang w:val="sr-Latn-CS"/>
        </w:rPr>
      </w:pPr>
      <w:r w:rsidRPr="00CE2847">
        <w:rPr>
          <w:rFonts w:ascii="Calibri" w:hAnsi="Calibri"/>
          <w:b/>
          <w:szCs w:val="20"/>
          <w:lang w:val="sr-Latn-CS"/>
        </w:rPr>
        <w:t>Kreditni rizik</w:t>
      </w:r>
    </w:p>
    <w:p w:rsidR="00413CC5" w:rsidRPr="00CE2847" w:rsidRDefault="00413CC5" w:rsidP="00413CC5">
      <w:pPr>
        <w:jc w:val="both"/>
        <w:rPr>
          <w:rFonts w:ascii="Calibri" w:hAnsi="Calibri"/>
          <w:sz w:val="22"/>
          <w:lang w:val="sr-Latn-CS"/>
        </w:rPr>
      </w:pPr>
    </w:p>
    <w:p w:rsidR="00413CC5" w:rsidRPr="00CE2847" w:rsidRDefault="00413CC5" w:rsidP="00413CC5">
      <w:pPr>
        <w:jc w:val="both"/>
        <w:rPr>
          <w:rFonts w:ascii="Calibri" w:hAnsi="Calibri"/>
          <w:sz w:val="22"/>
          <w:lang w:val="sr-Latn-CS"/>
        </w:rPr>
      </w:pPr>
      <w:r w:rsidRPr="00CE2847">
        <w:rPr>
          <w:rFonts w:ascii="Calibri" w:hAnsi="Calibri"/>
          <w:sz w:val="22"/>
          <w:lang w:val="sr-Latn-CS"/>
        </w:rPr>
        <w:t>Kreditni rizik, u smislu rizika vraćanja glavnice i pripadajuće kamate, nema uticaj na kre</w:t>
      </w:r>
      <w:r>
        <w:rPr>
          <w:rFonts w:ascii="Calibri" w:hAnsi="Calibri"/>
          <w:sz w:val="22"/>
          <w:lang w:val="sr-Latn-CS"/>
        </w:rPr>
        <w:t>tanje vrijednosti imovine fonda. U</w:t>
      </w:r>
      <w:r w:rsidRPr="00CE2847">
        <w:rPr>
          <w:rFonts w:ascii="Calibri" w:hAnsi="Calibri"/>
          <w:sz w:val="22"/>
          <w:lang w:val="sr-Latn-CS"/>
        </w:rPr>
        <w:t xml:space="preserve"> najvećoj mjeri</w:t>
      </w:r>
      <w:r>
        <w:rPr>
          <w:rFonts w:ascii="Calibri" w:hAnsi="Calibri"/>
          <w:sz w:val="22"/>
          <w:lang w:val="sr-Latn-CS"/>
        </w:rPr>
        <w:t xml:space="preserve"> predmetni rizik</w:t>
      </w:r>
      <w:r w:rsidRPr="00CE2847">
        <w:rPr>
          <w:rFonts w:ascii="Calibri" w:hAnsi="Calibri"/>
          <w:sz w:val="22"/>
          <w:lang w:val="sr-Latn-CS"/>
        </w:rPr>
        <w:t xml:space="preserve"> je izražen kod depozita (</w:t>
      </w:r>
      <w:r>
        <w:rPr>
          <w:rFonts w:ascii="Calibri" w:hAnsi="Calibri"/>
          <w:sz w:val="22"/>
          <w:lang w:val="sr-Latn-CS"/>
        </w:rPr>
        <w:t>90.17</w:t>
      </w:r>
      <w:r w:rsidRPr="00CE2847">
        <w:rPr>
          <w:rFonts w:ascii="Calibri" w:hAnsi="Calibri"/>
          <w:sz w:val="22"/>
          <w:lang w:val="sr-Latn-CS"/>
        </w:rPr>
        <w:t xml:space="preserve">%  imovine Fonda ). Depoziti se ulažu u vodeće banke na tržištu uz pridržavanje načela diverzifikacije. U dužničke hartije od vrijednosti </w:t>
      </w:r>
      <w:r>
        <w:rPr>
          <w:rFonts w:ascii="Calibri" w:hAnsi="Calibri"/>
          <w:sz w:val="22"/>
          <w:lang w:val="sr-Latn-CS"/>
        </w:rPr>
        <w:t>nije evidentirano ulaganje u predmetnom periodu</w:t>
      </w:r>
      <w:r w:rsidRPr="00CE2847">
        <w:rPr>
          <w:rFonts w:ascii="Calibri" w:hAnsi="Calibri"/>
          <w:sz w:val="22"/>
          <w:lang w:val="sr-Latn-CS"/>
        </w:rPr>
        <w:t xml:space="preserve">. </w:t>
      </w:r>
    </w:p>
    <w:p w:rsidR="00413CC5" w:rsidRPr="00CE2847" w:rsidRDefault="00413CC5" w:rsidP="00413CC5">
      <w:pPr>
        <w:jc w:val="both"/>
        <w:rPr>
          <w:rFonts w:ascii="Calibri" w:hAnsi="Calibri"/>
          <w:sz w:val="22"/>
          <w:lang w:val="sr-Latn-CS"/>
        </w:rPr>
      </w:pPr>
      <w:r w:rsidRPr="00CE2847">
        <w:rPr>
          <w:rFonts w:ascii="Calibri" w:hAnsi="Calibri"/>
          <w:sz w:val="22"/>
          <w:lang w:val="sr-Latn-CS"/>
        </w:rPr>
        <w:t>Fond nije ulagao u finansijske instrumente onih emitenata koji pokazuju  pogoršanje poslovanja ili  su u prethodnoj poslovnoj godini iskazali gubitak u finansijskim izvještajima.</w:t>
      </w:r>
    </w:p>
    <w:p w:rsidR="00413CC5" w:rsidRPr="00CE2847" w:rsidRDefault="00413CC5" w:rsidP="00413CC5">
      <w:pPr>
        <w:ind w:firstLine="720"/>
        <w:jc w:val="both"/>
        <w:rPr>
          <w:rFonts w:ascii="Calibri" w:hAnsi="Calibri"/>
          <w:b/>
          <w:lang w:val="sr-Latn-CS"/>
        </w:rPr>
      </w:pPr>
    </w:p>
    <w:p w:rsidR="00413CC5" w:rsidRPr="00CE2847" w:rsidRDefault="00413CC5" w:rsidP="00413CC5">
      <w:pPr>
        <w:jc w:val="both"/>
        <w:rPr>
          <w:rFonts w:ascii="Calibri" w:hAnsi="Calibri"/>
          <w:b/>
          <w:lang w:val="sr-Latn-CS"/>
        </w:rPr>
      </w:pPr>
    </w:p>
    <w:p w:rsidR="00413CC5" w:rsidRPr="00CE2847" w:rsidRDefault="00413CC5" w:rsidP="00413CC5">
      <w:pPr>
        <w:jc w:val="both"/>
        <w:rPr>
          <w:rFonts w:ascii="Calibri" w:hAnsi="Calibri"/>
          <w:b/>
          <w:lang w:val="sr-Latn-CS"/>
        </w:rPr>
      </w:pPr>
      <w:r w:rsidRPr="00CE2847">
        <w:rPr>
          <w:rFonts w:ascii="Calibri" w:hAnsi="Calibri"/>
          <w:b/>
          <w:lang w:val="sr-Latn-CS"/>
        </w:rPr>
        <w:t>Rizik poravnanja i rizik druge ugovorne strane</w:t>
      </w:r>
    </w:p>
    <w:p w:rsidR="00413CC5" w:rsidRPr="00CE2847" w:rsidRDefault="00413CC5" w:rsidP="00413CC5">
      <w:pPr>
        <w:jc w:val="both"/>
        <w:rPr>
          <w:rFonts w:ascii="Calibri" w:hAnsi="Calibri"/>
          <w:lang w:val="sr-Latn-CS"/>
        </w:rPr>
      </w:pPr>
      <w:r w:rsidRPr="00CE2847">
        <w:rPr>
          <w:rFonts w:ascii="Calibri" w:hAnsi="Calibri"/>
          <w:lang w:val="sr-Latn-CS"/>
        </w:rPr>
        <w:t xml:space="preserve"> </w:t>
      </w:r>
    </w:p>
    <w:p w:rsidR="00413CC5" w:rsidRPr="00CE2847" w:rsidRDefault="00413CC5" w:rsidP="00413CC5">
      <w:pPr>
        <w:jc w:val="both"/>
        <w:rPr>
          <w:rFonts w:ascii="Calibri" w:hAnsi="Calibri"/>
          <w:sz w:val="22"/>
          <w:lang w:val="sr-Latn-CS"/>
        </w:rPr>
      </w:pPr>
      <w:r w:rsidRPr="00CE2847">
        <w:rPr>
          <w:rFonts w:ascii="Calibri" w:hAnsi="Calibri"/>
          <w:sz w:val="22"/>
          <w:lang w:val="sr-Latn-CS"/>
        </w:rPr>
        <w:lastRenderedPageBreak/>
        <w:t xml:space="preserve">Plaćanje svih transakcija sa hartijama od vrijednosti vrši se putem ovlašćenih brokera. Rizik neplaćanja je minimalan, jer se vlasništvo nad prodatim hartijama od vrijednosti preknjižava na kupca istovremeno sa naplatom potraživanog iznosa. Prilikom kupovine, plaćanje se vrši istovremeno sa prenosom kupljenih HOV. </w:t>
      </w:r>
    </w:p>
    <w:p w:rsidR="00413CC5" w:rsidRPr="00CE2847" w:rsidRDefault="00413CC5" w:rsidP="00413CC5">
      <w:pPr>
        <w:jc w:val="both"/>
        <w:rPr>
          <w:rFonts w:ascii="Calibri" w:hAnsi="Calibri"/>
          <w:sz w:val="22"/>
          <w:lang w:val="sr-Latn-CS"/>
        </w:rPr>
      </w:pPr>
      <w:r w:rsidRPr="00CE2847">
        <w:rPr>
          <w:rFonts w:ascii="Calibri" w:hAnsi="Calibri"/>
          <w:sz w:val="22"/>
          <w:lang w:val="sr-Latn-CS"/>
        </w:rPr>
        <w:t xml:space="preserve"> </w:t>
      </w:r>
    </w:p>
    <w:p w:rsidR="00413CC5" w:rsidRPr="00CE2847" w:rsidRDefault="00413CC5" w:rsidP="00413CC5">
      <w:pPr>
        <w:spacing w:before="200"/>
        <w:jc w:val="both"/>
        <w:rPr>
          <w:rFonts w:ascii="Calibri" w:hAnsi="Calibri"/>
          <w:b/>
          <w:szCs w:val="20"/>
          <w:lang w:val="sr-Latn-CS"/>
        </w:rPr>
      </w:pPr>
      <w:r w:rsidRPr="00CE2847">
        <w:rPr>
          <w:rFonts w:ascii="Calibri" w:hAnsi="Calibri"/>
          <w:b/>
          <w:szCs w:val="20"/>
          <w:lang w:val="sr-Latn-CS"/>
        </w:rPr>
        <w:t xml:space="preserve">Fer vrijednost  </w:t>
      </w:r>
    </w:p>
    <w:p w:rsidR="00413CC5" w:rsidRPr="00753DDF" w:rsidRDefault="00413CC5" w:rsidP="00413CC5">
      <w:pPr>
        <w:spacing w:before="200"/>
        <w:jc w:val="both"/>
        <w:rPr>
          <w:rFonts w:ascii="Calibri" w:hAnsi="Calibri"/>
          <w:i/>
          <w:sz w:val="22"/>
          <w:szCs w:val="20"/>
          <w:lang w:val="sr-Latn-CS"/>
        </w:rPr>
      </w:pPr>
      <w:r w:rsidRPr="00CE2847">
        <w:rPr>
          <w:rFonts w:ascii="Calibri" w:hAnsi="Calibri"/>
          <w:sz w:val="22"/>
          <w:szCs w:val="20"/>
          <w:lang w:val="sr-Latn-CS"/>
        </w:rPr>
        <w:t>Fer vrijednost finansijskih instrumenata se bazira na kotiranim tržišnim cijenama, ako su dostupne. Ako tržišne cijene nisu dostupne</w:t>
      </w:r>
      <w:r>
        <w:rPr>
          <w:rFonts w:ascii="Calibri" w:hAnsi="Calibri"/>
          <w:sz w:val="22"/>
          <w:szCs w:val="20"/>
          <w:lang w:val="sr-Latn-CS"/>
        </w:rPr>
        <w:t xml:space="preserve"> ili ne ispunjavaju uslove propisane Pravilnikom o utvr</w:t>
      </w:r>
      <w:r>
        <w:rPr>
          <w:rFonts w:ascii="Calibri" w:hAnsi="Calibri"/>
          <w:sz w:val="22"/>
          <w:szCs w:val="20"/>
          <w:lang w:val="sr-Latn-BA"/>
        </w:rPr>
        <w:t>đivanju vrijednosti imovine investicionog fonda i obračunu neto vrijednosti imovine po udjelu ili akciji investicionog fonda</w:t>
      </w:r>
      <w:r w:rsidRPr="00CE2847">
        <w:rPr>
          <w:rFonts w:ascii="Calibri" w:hAnsi="Calibri"/>
          <w:sz w:val="22"/>
          <w:szCs w:val="20"/>
          <w:lang w:val="sr-Latn-CS"/>
        </w:rPr>
        <w:t>, fer vrijednost se procjenjuje primjenom odgovarajućih tehnika procjene. Za depozite, obaveze i potraživanja fonda, knjigovodstvena vrijednost je približna fer vrijednosti zbog njihovog kratkog dospijeća.</w:t>
      </w:r>
    </w:p>
    <w:p w:rsidR="00413CC5" w:rsidRDefault="00413CC5" w:rsidP="00413CC5">
      <w:pPr>
        <w:ind w:left="5040" w:firstLine="720"/>
        <w:rPr>
          <w:rFonts w:ascii="Calibri" w:hAnsi="Calibri"/>
          <w:lang w:val="sr-Latn-CS"/>
        </w:rPr>
      </w:pPr>
    </w:p>
    <w:p w:rsidR="00413CC5" w:rsidRPr="00CE2847" w:rsidRDefault="00413CC5" w:rsidP="00413CC5">
      <w:pPr>
        <w:ind w:left="5040" w:firstLine="720"/>
        <w:rPr>
          <w:rFonts w:ascii="Calibri" w:hAnsi="Calibri"/>
          <w:lang w:val="sr-Latn-CS"/>
        </w:rPr>
      </w:pPr>
      <w:r w:rsidRPr="00CE2847">
        <w:rPr>
          <w:rFonts w:ascii="Calibri" w:hAnsi="Calibri"/>
          <w:lang w:val="sr-Latn-CS"/>
        </w:rPr>
        <w:tab/>
      </w:r>
      <w:r w:rsidRPr="00CE2847">
        <w:rPr>
          <w:rFonts w:ascii="Calibri" w:hAnsi="Calibri"/>
          <w:lang w:val="sr-Latn-CS"/>
        </w:rPr>
        <w:tab/>
      </w:r>
    </w:p>
    <w:p w:rsidR="00413CC5" w:rsidRPr="00CE2847" w:rsidRDefault="00413CC5" w:rsidP="00413CC5">
      <w:pPr>
        <w:ind w:left="5040" w:firstLine="720"/>
        <w:rPr>
          <w:rFonts w:ascii="Calibri" w:hAnsi="Calibri"/>
          <w:lang w:val="sr-Latn-CS"/>
        </w:rPr>
      </w:pPr>
    </w:p>
    <w:p w:rsidR="00413CC5" w:rsidRPr="00CE2847" w:rsidRDefault="00413CC5" w:rsidP="00413CC5">
      <w:pPr>
        <w:ind w:left="5040" w:firstLine="720"/>
        <w:rPr>
          <w:rFonts w:ascii="Calibri" w:hAnsi="Calibri"/>
          <w:lang w:val="sr-Latn-CS"/>
        </w:rPr>
      </w:pPr>
    </w:p>
    <w:p w:rsidR="00B55F10" w:rsidRDefault="00413CC5" w:rsidP="00413CC5">
      <w:pPr>
        <w:ind w:left="5040" w:firstLine="720"/>
        <w:rPr>
          <w:rFonts w:ascii="Calibri" w:hAnsi="Calibri"/>
          <w:b/>
          <w:sz w:val="22"/>
          <w:szCs w:val="20"/>
          <w:lang w:val="sr-Latn-CS"/>
        </w:rPr>
      </w:pPr>
      <w:r w:rsidRPr="00CE2847">
        <w:rPr>
          <w:rFonts w:ascii="Calibri" w:hAnsi="Calibri"/>
          <w:lang w:val="sr-Latn-CS"/>
        </w:rPr>
        <w:tab/>
      </w:r>
      <w:r w:rsidRPr="00CE2847">
        <w:rPr>
          <w:rFonts w:ascii="Calibri" w:hAnsi="Calibri"/>
          <w:lang w:val="sr-Latn-CS"/>
        </w:rPr>
        <w:tab/>
      </w:r>
      <w:r w:rsidRPr="00CE2847">
        <w:rPr>
          <w:rFonts w:ascii="Calibri" w:hAnsi="Calibri"/>
          <w:lang w:val="sr-Latn-CS"/>
        </w:rPr>
        <w:tab/>
      </w: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B55F10" w:rsidRDefault="00B55F10" w:rsidP="00C527C7">
      <w:pPr>
        <w:jc w:val="both"/>
        <w:rPr>
          <w:rFonts w:ascii="Calibri" w:hAnsi="Calibri"/>
          <w:b/>
          <w:sz w:val="22"/>
          <w:szCs w:val="20"/>
          <w:lang w:val="sr-Latn-CS"/>
        </w:rPr>
      </w:pPr>
    </w:p>
    <w:p w:rsidR="00C84A1D" w:rsidRPr="00EB1F5C" w:rsidRDefault="00EB1F5C" w:rsidP="00EB1F5C">
      <w:pPr>
        <w:rPr>
          <w:rFonts w:ascii="Calibri" w:hAnsi="Calibri"/>
          <w:lang w:val="sr-Latn-CS"/>
        </w:rPr>
      </w:pPr>
      <w:r>
        <w:rPr>
          <w:rFonts w:ascii="Calibri" w:hAnsi="Calibri"/>
          <w:lang w:val="sr-Latn-CS"/>
        </w:rPr>
        <w:tab/>
      </w:r>
    </w:p>
    <w:p w:rsidR="00C85F0E" w:rsidRPr="004B678C" w:rsidRDefault="00C85F0E" w:rsidP="00413CC5">
      <w:pPr>
        <w:tabs>
          <w:tab w:val="left" w:pos="269"/>
          <w:tab w:val="left" w:pos="806"/>
          <w:tab w:val="left" w:pos="1728"/>
          <w:tab w:val="left" w:pos="2448"/>
          <w:tab w:val="left" w:pos="3168"/>
          <w:tab w:val="left" w:pos="3888"/>
          <w:tab w:val="left" w:pos="4608"/>
          <w:tab w:val="left" w:pos="5328"/>
          <w:tab w:val="left" w:pos="6048"/>
          <w:tab w:val="left" w:pos="6768"/>
        </w:tabs>
        <w:rPr>
          <w:rFonts w:ascii="Calibri" w:hAnsi="Calibri" w:cs="Arial"/>
          <w:b/>
          <w:noProof/>
          <w:lang w:val="sr-Latn-BA"/>
        </w:rPr>
      </w:pPr>
      <w:r w:rsidRPr="004B678C">
        <w:rPr>
          <w:rFonts w:ascii="Calibri" w:hAnsi="Calibri" w:cs="Arial"/>
          <w:b/>
          <w:noProof/>
          <w:lang w:val="sr-Latn-BA"/>
        </w:rPr>
        <w:lastRenderedPageBreak/>
        <w:t>PRILOZI UZ FINANSIJSKE IZVJEŠTAJE</w:t>
      </w:r>
    </w:p>
    <w:p w:rsidR="00C85F0E" w:rsidRPr="004B678C"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Pr="004B678C"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C46DC" w:rsidRPr="004B678C" w:rsidRDefault="008C46D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ru-RU"/>
        </w:rPr>
      </w:pPr>
      <w:r w:rsidRPr="004B678C">
        <w:rPr>
          <w:rFonts w:ascii="Calibri" w:hAnsi="Calibri" w:cs="Arial"/>
          <w:noProof/>
          <w:lang w:val="ru-RU"/>
        </w:rPr>
        <w:t xml:space="preserve">U skladu sa članom 175. Zakona o investicionim fondovima (''Službeni glasnik RS'', broj 92/06 </w:t>
      </w:r>
      <w:r w:rsidRPr="004B678C">
        <w:rPr>
          <w:rFonts w:ascii="Calibri" w:hAnsi="Calibri" w:cs="Arial"/>
          <w:noProof/>
        </w:rPr>
        <w:t>i 82/15</w:t>
      </w:r>
      <w:r w:rsidRPr="004B678C">
        <w:rPr>
          <w:rFonts w:ascii="Calibri" w:hAnsi="Calibri" w:cs="Arial"/>
          <w:noProof/>
          <w:lang w:val="ru-RU"/>
        </w:rPr>
        <w:t>) Fond je u obavezi da, pored već objelodanjenih informacija u svojim finansijskim izvještajima, objelodani i sljedeće informacije:</w:t>
      </w:r>
    </w:p>
    <w:p w:rsidR="008C46DC" w:rsidRPr="004B678C" w:rsidRDefault="008C46DC" w:rsidP="008C46DC">
      <w:pPr>
        <w:jc w:val="both"/>
        <w:rPr>
          <w:rFonts w:ascii="Calibri" w:hAnsi="Calibri" w:cs="Arial"/>
          <w:noProof/>
          <w:lang w:val="ru-RU"/>
        </w:rPr>
      </w:pPr>
    </w:p>
    <w:p w:rsidR="008C46DC" w:rsidRPr="004B678C" w:rsidRDefault="008C46DC" w:rsidP="0002568E">
      <w:pPr>
        <w:widowControl w:val="0"/>
        <w:autoSpaceDE w:val="0"/>
        <w:autoSpaceDN w:val="0"/>
        <w:adjustRightInd w:val="0"/>
        <w:jc w:val="both"/>
        <w:rPr>
          <w:rFonts w:ascii="Calibri" w:hAnsi="Calibri" w:cs="Arial"/>
          <w:noProof/>
          <w:lang w:val="sr-Latn-BA"/>
        </w:rPr>
      </w:pPr>
      <w:r w:rsidRPr="004B678C">
        <w:rPr>
          <w:rFonts w:ascii="Calibri" w:hAnsi="Calibri" w:cs="Arial"/>
          <w:noProof/>
          <w:lang w:val="ru-RU"/>
        </w:rPr>
        <w:t>Fond je izvršio obračun ukupnog iznosa svih troškova koji se knjiže na teret Fonda, a koji se</w:t>
      </w:r>
      <w:r w:rsidRPr="00A636D5">
        <w:rPr>
          <w:rFonts w:ascii="Calibri" w:hAnsi="Calibri" w:cs="Arial"/>
          <w:noProof/>
          <w:lang w:val="ru-RU"/>
        </w:rPr>
        <w:t xml:space="preserve"> </w:t>
      </w:r>
      <w:r w:rsidRPr="004B678C">
        <w:rPr>
          <w:rFonts w:ascii="Calibri" w:hAnsi="Calibri" w:cs="Arial"/>
          <w:noProof/>
          <w:lang w:val="ru-RU"/>
        </w:rPr>
        <w:t xml:space="preserve">iskazuju kao pokazatelj ukupnih troškova. </w:t>
      </w:r>
      <w:r w:rsidRPr="004B678C">
        <w:rPr>
          <w:rFonts w:ascii="Calibri" w:hAnsi="Calibri" w:cs="Arial"/>
          <w:noProof/>
        </w:rPr>
        <w:t>Navedeni pokazatelj z</w:t>
      </w:r>
      <w:r w:rsidR="00870C0F" w:rsidRPr="004B678C">
        <w:rPr>
          <w:rFonts w:ascii="Calibri" w:hAnsi="Calibri" w:cs="Arial"/>
          <w:noProof/>
        </w:rPr>
        <w:t>a 2018</w:t>
      </w:r>
      <w:r w:rsidRPr="004B678C">
        <w:rPr>
          <w:rFonts w:ascii="Calibri" w:hAnsi="Calibri" w:cs="Arial"/>
          <w:noProof/>
        </w:rPr>
        <w:t xml:space="preserve">. godinu iznosi </w:t>
      </w:r>
      <w:r w:rsidR="000C55B9">
        <w:rPr>
          <w:rFonts w:ascii="Calibri" w:hAnsi="Calibri" w:cs="Arial"/>
          <w:noProof/>
        </w:rPr>
        <w:t xml:space="preserve">3,11 </w:t>
      </w:r>
      <w:r w:rsidR="00A636D5" w:rsidRPr="004B678C">
        <w:rPr>
          <w:rFonts w:ascii="Calibri" w:hAnsi="Calibri" w:cs="Arial"/>
          <w:noProof/>
        </w:rPr>
        <w:t>.</w:t>
      </w:r>
    </w:p>
    <w:p w:rsidR="00A636D5" w:rsidRPr="004B678C" w:rsidRDefault="00A636D5" w:rsidP="00A636D5">
      <w:pPr>
        <w:widowControl w:val="0"/>
        <w:autoSpaceDE w:val="0"/>
        <w:autoSpaceDN w:val="0"/>
        <w:adjustRightInd w:val="0"/>
        <w:ind w:left="360"/>
        <w:jc w:val="both"/>
        <w:rPr>
          <w:rFonts w:ascii="Calibri" w:hAnsi="Calibri" w:cs="Arial"/>
          <w:noProof/>
        </w:rPr>
      </w:pPr>
    </w:p>
    <w:p w:rsidR="008C46DC" w:rsidRPr="004B678C" w:rsidRDefault="008C46DC" w:rsidP="0002568E">
      <w:pPr>
        <w:widowControl w:val="0"/>
        <w:autoSpaceDE w:val="0"/>
        <w:autoSpaceDN w:val="0"/>
        <w:adjustRightInd w:val="0"/>
        <w:spacing w:after="120"/>
        <w:jc w:val="both"/>
        <w:rPr>
          <w:rFonts w:ascii="Calibri" w:hAnsi="Calibri" w:cs="Arial"/>
          <w:noProof/>
          <w:lang w:val="ru-RU"/>
        </w:rPr>
      </w:pPr>
      <w:r w:rsidRPr="004B678C">
        <w:rPr>
          <w:rFonts w:ascii="Calibri" w:hAnsi="Calibri" w:cs="Arial"/>
          <w:noProof/>
          <w:lang w:val="ru-RU"/>
        </w:rPr>
        <w:t xml:space="preserve">U dole navedenoj tabeli, a u skladu sa članom 175. stav.1, tačka </w:t>
      </w:r>
      <w:r w:rsidRPr="004B678C">
        <w:rPr>
          <w:rFonts w:ascii="Calibri" w:hAnsi="Calibri" w:cs="Arial"/>
          <w:noProof/>
        </w:rPr>
        <w:t>d</w:t>
      </w:r>
      <w:r w:rsidRPr="004B678C">
        <w:rPr>
          <w:rFonts w:ascii="Calibri" w:hAnsi="Calibri" w:cs="Arial"/>
          <w:noProof/>
          <w:lang w:val="ru-RU"/>
        </w:rPr>
        <w:t>. dat je prikaz berzanskih posrednika u trgovini hartijama od vrijednosti putem kojeg je Fond obavio više od 1</w:t>
      </w:r>
      <w:r w:rsidR="00F15C8C" w:rsidRPr="004B678C">
        <w:rPr>
          <w:rFonts w:ascii="Calibri" w:hAnsi="Calibri" w:cs="Arial"/>
          <w:noProof/>
          <w:lang w:val="ru-RU"/>
        </w:rPr>
        <w:t>0% svojih transakcija tokom 201</w:t>
      </w:r>
      <w:r w:rsidR="00870C0F" w:rsidRPr="004B678C">
        <w:rPr>
          <w:rFonts w:ascii="Calibri" w:hAnsi="Calibri" w:cs="Arial"/>
          <w:noProof/>
        </w:rPr>
        <w:t>8</w:t>
      </w:r>
      <w:r w:rsidRPr="004B678C">
        <w:rPr>
          <w:rFonts w:ascii="Calibri" w:hAnsi="Calibri" w:cs="Arial"/>
          <w:noProof/>
          <w:lang w:val="ru-RU"/>
        </w:rPr>
        <w:t>. godine uz navođenje:</w:t>
      </w:r>
    </w:p>
    <w:p w:rsidR="008C46DC" w:rsidRPr="004B678C" w:rsidRDefault="008C46DC" w:rsidP="008C46DC">
      <w:pPr>
        <w:pStyle w:val="Default"/>
        <w:ind w:left="1418" w:hanging="567"/>
        <w:jc w:val="both"/>
        <w:rPr>
          <w:rFonts w:ascii="Calibri" w:hAnsi="Calibri" w:cs="Arial"/>
          <w:noProof/>
          <w:color w:val="auto"/>
          <w:lang w:val="ru-RU"/>
        </w:rPr>
      </w:pPr>
      <w:r w:rsidRPr="004B678C">
        <w:rPr>
          <w:rFonts w:ascii="Calibri" w:hAnsi="Calibri" w:cs="Arial"/>
          <w:noProof/>
          <w:color w:val="auto"/>
          <w:lang w:val="ru-RU"/>
        </w:rPr>
        <w:t>a)</w:t>
      </w:r>
      <w:r w:rsidRPr="004B678C">
        <w:rPr>
          <w:rFonts w:ascii="Calibri" w:hAnsi="Calibri" w:cs="Arial"/>
          <w:noProof/>
          <w:color w:val="auto"/>
          <w:lang w:val="ru-RU"/>
        </w:rPr>
        <w:tab/>
        <w:t>ukupne vrijednosti svih transakcija obavljenih putem pojedinog berzanskog posrednika, iskazane su kao procenat ukupne vrijednosti svih transakcija Fonda u toj godini i</w:t>
      </w:r>
    </w:p>
    <w:p w:rsidR="008C46DC" w:rsidRPr="004B678C" w:rsidRDefault="008C46DC" w:rsidP="008C46DC">
      <w:pPr>
        <w:pStyle w:val="Default"/>
        <w:ind w:left="928"/>
        <w:jc w:val="both"/>
        <w:rPr>
          <w:rFonts w:ascii="Calibri" w:hAnsi="Calibri" w:cs="Arial"/>
          <w:noProof/>
          <w:color w:val="auto"/>
          <w:lang w:val="ru-RU"/>
        </w:rPr>
      </w:pPr>
    </w:p>
    <w:p w:rsidR="008C46DC" w:rsidRPr="004B678C" w:rsidRDefault="008C46DC" w:rsidP="008C46DC">
      <w:pPr>
        <w:pStyle w:val="Default"/>
        <w:ind w:left="1418" w:hanging="567"/>
        <w:jc w:val="both"/>
        <w:rPr>
          <w:rFonts w:ascii="Calibri" w:hAnsi="Calibri" w:cs="Arial"/>
          <w:noProof/>
          <w:color w:val="auto"/>
          <w:lang w:val="ru-RU"/>
        </w:rPr>
      </w:pPr>
      <w:r w:rsidRPr="004B678C">
        <w:rPr>
          <w:rFonts w:ascii="Calibri" w:hAnsi="Calibri" w:cs="Arial"/>
          <w:noProof/>
          <w:color w:val="auto"/>
          <w:lang w:val="ru-RU"/>
        </w:rPr>
        <w:t>b)</w:t>
      </w:r>
      <w:r w:rsidRPr="004B678C">
        <w:rPr>
          <w:rFonts w:ascii="Calibri" w:hAnsi="Calibri" w:cs="Arial"/>
          <w:noProof/>
          <w:color w:val="auto"/>
          <w:lang w:val="ru-RU"/>
        </w:rPr>
        <w:tab/>
        <w:t>provizije plaćene berzanskom posredniku, iskazane su kao procenat ukupne vrijednosti transakcija obavljenih posredstvom tog berzanskog posrednika.</w:t>
      </w:r>
    </w:p>
    <w:p w:rsidR="008C46DC" w:rsidRPr="000C55B9" w:rsidRDefault="008C46DC" w:rsidP="008C46DC">
      <w:pPr>
        <w:rPr>
          <w:rFonts w:ascii="Calibri" w:hAnsi="Calibri" w:cs="Arial"/>
          <w:noProof/>
          <w:lang w:val="ru-RU"/>
        </w:rPr>
      </w:pPr>
    </w:p>
    <w:tbl>
      <w:tblPr>
        <w:tblW w:w="9778" w:type="dxa"/>
        <w:tblInd w:w="-510" w:type="dxa"/>
        <w:tblLayout w:type="fixed"/>
        <w:tblCellMar>
          <w:left w:w="57" w:type="dxa"/>
          <w:right w:w="57" w:type="dxa"/>
        </w:tblCellMar>
        <w:tblLook w:val="04A0"/>
      </w:tblPr>
      <w:tblGrid>
        <w:gridCol w:w="3261"/>
        <w:gridCol w:w="148"/>
        <w:gridCol w:w="1484"/>
        <w:gridCol w:w="134"/>
        <w:gridCol w:w="1489"/>
        <w:gridCol w:w="140"/>
        <w:gridCol w:w="1498"/>
        <w:gridCol w:w="140"/>
        <w:gridCol w:w="1484"/>
      </w:tblGrid>
      <w:tr w:rsidR="008C46DC" w:rsidRPr="000C55B9" w:rsidTr="00C113C7">
        <w:tc>
          <w:tcPr>
            <w:tcW w:w="3261" w:type="dxa"/>
            <w:tcBorders>
              <w:bottom w:val="single" w:sz="4" w:space="0" w:color="auto"/>
            </w:tcBorders>
            <w:vAlign w:val="bottom"/>
          </w:tcPr>
          <w:p w:rsidR="008C46DC" w:rsidRPr="000C55B9" w:rsidRDefault="004E476A" w:rsidP="00C113C7">
            <w:pPr>
              <w:pStyle w:val="Default"/>
              <w:widowControl w:val="0"/>
              <w:rPr>
                <w:rFonts w:ascii="Calibri" w:hAnsi="Calibri" w:cs="Arial"/>
                <w:b/>
                <w:noProof/>
                <w:color w:val="auto"/>
              </w:rPr>
            </w:pPr>
            <w:r w:rsidRPr="000C55B9">
              <w:rPr>
                <w:rFonts w:ascii="Calibri" w:hAnsi="Calibri" w:cs="Arial"/>
                <w:b/>
                <w:noProof/>
                <w:color w:val="auto"/>
              </w:rPr>
              <w:t xml:space="preserve">        </w:t>
            </w:r>
            <w:r w:rsidR="008C46DC" w:rsidRPr="000C55B9">
              <w:rPr>
                <w:rFonts w:ascii="Calibri" w:hAnsi="Calibri" w:cs="Arial"/>
                <w:b/>
                <w:noProof/>
                <w:color w:val="auto"/>
              </w:rPr>
              <w:t>Berzanski posrednik</w:t>
            </w:r>
          </w:p>
        </w:tc>
        <w:tc>
          <w:tcPr>
            <w:tcW w:w="148" w:type="dxa"/>
            <w:vAlign w:val="bottom"/>
          </w:tcPr>
          <w:p w:rsidR="008C46DC" w:rsidRPr="000C55B9" w:rsidRDefault="008C46DC" w:rsidP="00C113C7">
            <w:pPr>
              <w:pStyle w:val="Default"/>
              <w:widowControl w:val="0"/>
              <w:jc w:val="right"/>
              <w:rPr>
                <w:rFonts w:ascii="Calibri" w:hAnsi="Calibri" w:cs="Arial"/>
                <w:b/>
                <w:bCs/>
                <w:noProof/>
                <w:color w:val="auto"/>
              </w:rPr>
            </w:pPr>
          </w:p>
        </w:tc>
        <w:tc>
          <w:tcPr>
            <w:tcW w:w="1484" w:type="dxa"/>
            <w:tcBorders>
              <w:bottom w:val="single" w:sz="4" w:space="0" w:color="auto"/>
            </w:tcBorders>
            <w:vAlign w:val="bottom"/>
          </w:tcPr>
          <w:p w:rsidR="008C46DC" w:rsidRPr="000C55B9" w:rsidRDefault="008C46DC" w:rsidP="00C113C7">
            <w:pPr>
              <w:pStyle w:val="Default"/>
              <w:widowControl w:val="0"/>
              <w:ind w:right="72"/>
              <w:jc w:val="right"/>
              <w:rPr>
                <w:rFonts w:ascii="Calibri" w:hAnsi="Calibri" w:cs="Arial"/>
                <w:noProof/>
                <w:color w:val="auto"/>
              </w:rPr>
            </w:pPr>
            <w:r w:rsidRPr="000C55B9">
              <w:rPr>
                <w:rFonts w:ascii="Calibri" w:hAnsi="Calibri" w:cs="Arial"/>
                <w:b/>
                <w:bCs/>
                <w:noProof/>
                <w:color w:val="auto"/>
              </w:rPr>
              <w:t xml:space="preserve">Vrijednost </w:t>
            </w:r>
          </w:p>
          <w:p w:rsidR="008C46DC" w:rsidRPr="000C55B9" w:rsidRDefault="008C46DC" w:rsidP="00C113C7">
            <w:pPr>
              <w:ind w:right="72"/>
              <w:jc w:val="right"/>
              <w:rPr>
                <w:rFonts w:ascii="Calibri" w:hAnsi="Calibri" w:cs="Arial"/>
                <w:b/>
                <w:bCs/>
                <w:noProof/>
              </w:rPr>
            </w:pPr>
            <w:r w:rsidRPr="000C55B9">
              <w:rPr>
                <w:rFonts w:ascii="Calibri" w:hAnsi="Calibri" w:cs="Arial"/>
                <w:b/>
                <w:bCs/>
                <w:noProof/>
              </w:rPr>
              <w:t>transakcija</w:t>
            </w:r>
          </w:p>
          <w:p w:rsidR="008C46DC" w:rsidRPr="000C55B9" w:rsidRDefault="008C46DC" w:rsidP="00C113C7">
            <w:pPr>
              <w:ind w:right="72"/>
              <w:jc w:val="right"/>
              <w:rPr>
                <w:rFonts w:ascii="Calibri" w:hAnsi="Calibri" w:cs="Arial"/>
                <w:noProof/>
              </w:rPr>
            </w:pPr>
            <w:r w:rsidRPr="000C55B9">
              <w:rPr>
                <w:rFonts w:ascii="Calibri" w:hAnsi="Calibri" w:cs="Arial"/>
                <w:b/>
                <w:bCs/>
                <w:noProof/>
              </w:rPr>
              <w:t xml:space="preserve"> (u KM)</w:t>
            </w:r>
          </w:p>
        </w:tc>
        <w:tc>
          <w:tcPr>
            <w:tcW w:w="134" w:type="dxa"/>
            <w:vAlign w:val="bottom"/>
          </w:tcPr>
          <w:p w:rsidR="008C46DC" w:rsidRPr="000C55B9" w:rsidRDefault="008C46DC" w:rsidP="00C113C7">
            <w:pPr>
              <w:pStyle w:val="Default"/>
              <w:widowControl w:val="0"/>
              <w:ind w:right="72"/>
              <w:jc w:val="right"/>
              <w:rPr>
                <w:rFonts w:ascii="Calibri" w:hAnsi="Calibri" w:cs="Arial"/>
                <w:b/>
                <w:bCs/>
                <w:noProof/>
                <w:color w:val="auto"/>
              </w:rPr>
            </w:pPr>
          </w:p>
        </w:tc>
        <w:tc>
          <w:tcPr>
            <w:tcW w:w="1489" w:type="dxa"/>
            <w:tcBorders>
              <w:bottom w:val="single" w:sz="4" w:space="0" w:color="auto"/>
            </w:tcBorders>
            <w:vAlign w:val="bottom"/>
          </w:tcPr>
          <w:p w:rsidR="008C46DC" w:rsidRPr="000C55B9" w:rsidRDefault="008C46DC" w:rsidP="00C113C7">
            <w:pPr>
              <w:pStyle w:val="Default"/>
              <w:widowControl w:val="0"/>
              <w:ind w:right="72"/>
              <w:jc w:val="right"/>
              <w:rPr>
                <w:rFonts w:ascii="Calibri" w:hAnsi="Calibri" w:cs="Arial"/>
                <w:noProof/>
                <w:color w:val="auto"/>
              </w:rPr>
            </w:pPr>
            <w:r w:rsidRPr="000C55B9">
              <w:rPr>
                <w:rFonts w:ascii="Calibri" w:hAnsi="Calibri" w:cs="Arial"/>
                <w:b/>
                <w:bCs/>
                <w:noProof/>
                <w:color w:val="auto"/>
              </w:rPr>
              <w:t xml:space="preserve">% ukupnih </w:t>
            </w:r>
          </w:p>
          <w:p w:rsidR="008C46DC" w:rsidRPr="000C55B9" w:rsidRDefault="008C46DC" w:rsidP="00C113C7">
            <w:pPr>
              <w:ind w:right="72"/>
              <w:jc w:val="right"/>
              <w:rPr>
                <w:rFonts w:ascii="Calibri" w:hAnsi="Calibri" w:cs="Arial"/>
                <w:noProof/>
              </w:rPr>
            </w:pPr>
            <w:r w:rsidRPr="000C55B9">
              <w:rPr>
                <w:rFonts w:ascii="Calibri" w:hAnsi="Calibri" w:cs="Arial"/>
                <w:b/>
                <w:bCs/>
                <w:noProof/>
              </w:rPr>
              <w:t>Transakcija</w:t>
            </w:r>
          </w:p>
        </w:tc>
        <w:tc>
          <w:tcPr>
            <w:tcW w:w="140" w:type="dxa"/>
            <w:vAlign w:val="bottom"/>
          </w:tcPr>
          <w:p w:rsidR="008C46DC" w:rsidRPr="000C55B9" w:rsidRDefault="008C46DC" w:rsidP="00C113C7">
            <w:pPr>
              <w:ind w:right="72"/>
              <w:jc w:val="right"/>
              <w:rPr>
                <w:rFonts w:ascii="Calibri" w:hAnsi="Calibri" w:cs="Arial"/>
                <w:b/>
                <w:bCs/>
                <w:noProof/>
              </w:rPr>
            </w:pPr>
          </w:p>
        </w:tc>
        <w:tc>
          <w:tcPr>
            <w:tcW w:w="1498" w:type="dxa"/>
            <w:tcBorders>
              <w:bottom w:val="single" w:sz="4" w:space="0" w:color="auto"/>
            </w:tcBorders>
            <w:vAlign w:val="bottom"/>
          </w:tcPr>
          <w:p w:rsidR="008C46DC" w:rsidRPr="000C55B9" w:rsidRDefault="008C46DC" w:rsidP="00C113C7">
            <w:pPr>
              <w:ind w:right="72"/>
              <w:jc w:val="right"/>
              <w:rPr>
                <w:rFonts w:ascii="Calibri" w:hAnsi="Calibri" w:cs="Arial"/>
                <w:b/>
                <w:bCs/>
                <w:noProof/>
              </w:rPr>
            </w:pPr>
            <w:r w:rsidRPr="000C55B9">
              <w:rPr>
                <w:rFonts w:ascii="Calibri" w:hAnsi="Calibri" w:cs="Arial"/>
                <w:b/>
                <w:bCs/>
                <w:noProof/>
              </w:rPr>
              <w:t xml:space="preserve">Plaćena provizija </w:t>
            </w:r>
          </w:p>
          <w:p w:rsidR="008C46DC" w:rsidRPr="000C55B9" w:rsidRDefault="008C46DC" w:rsidP="00C113C7">
            <w:pPr>
              <w:ind w:right="72"/>
              <w:jc w:val="right"/>
              <w:rPr>
                <w:rFonts w:ascii="Calibri" w:hAnsi="Calibri" w:cs="Arial"/>
                <w:noProof/>
              </w:rPr>
            </w:pPr>
            <w:r w:rsidRPr="000C55B9">
              <w:rPr>
                <w:rFonts w:ascii="Calibri" w:hAnsi="Calibri" w:cs="Arial"/>
                <w:b/>
                <w:bCs/>
                <w:noProof/>
              </w:rPr>
              <w:t>(u KM)</w:t>
            </w:r>
          </w:p>
        </w:tc>
        <w:tc>
          <w:tcPr>
            <w:tcW w:w="140" w:type="dxa"/>
            <w:vAlign w:val="bottom"/>
          </w:tcPr>
          <w:p w:rsidR="008C46DC" w:rsidRPr="000C55B9" w:rsidRDefault="008C46DC" w:rsidP="00C113C7">
            <w:pPr>
              <w:ind w:right="72"/>
              <w:jc w:val="right"/>
              <w:rPr>
                <w:rFonts w:ascii="Calibri" w:hAnsi="Calibri" w:cs="Arial"/>
                <w:b/>
                <w:bCs/>
                <w:noProof/>
              </w:rPr>
            </w:pPr>
          </w:p>
        </w:tc>
        <w:tc>
          <w:tcPr>
            <w:tcW w:w="1484" w:type="dxa"/>
            <w:tcBorders>
              <w:bottom w:val="single" w:sz="4" w:space="0" w:color="auto"/>
            </w:tcBorders>
            <w:vAlign w:val="bottom"/>
          </w:tcPr>
          <w:p w:rsidR="008C46DC" w:rsidRPr="000C55B9" w:rsidRDefault="008C46DC" w:rsidP="00C113C7">
            <w:pPr>
              <w:ind w:right="72"/>
              <w:jc w:val="right"/>
              <w:rPr>
                <w:rFonts w:ascii="Calibri" w:hAnsi="Calibri" w:cs="Arial"/>
                <w:noProof/>
              </w:rPr>
            </w:pPr>
            <w:r w:rsidRPr="000C55B9">
              <w:rPr>
                <w:rFonts w:ascii="Calibri" w:hAnsi="Calibri" w:cs="Arial"/>
                <w:b/>
                <w:bCs/>
                <w:noProof/>
              </w:rPr>
              <w:t>% provizije</w:t>
            </w:r>
          </w:p>
        </w:tc>
      </w:tr>
      <w:tr w:rsidR="008C46DC" w:rsidRPr="00657B8B" w:rsidTr="00C113C7">
        <w:tc>
          <w:tcPr>
            <w:tcW w:w="3261" w:type="dxa"/>
            <w:vAlign w:val="bottom"/>
          </w:tcPr>
          <w:p w:rsidR="008C46DC" w:rsidRPr="000C55B9" w:rsidRDefault="008C46DC" w:rsidP="00C113C7">
            <w:pPr>
              <w:rPr>
                <w:rFonts w:ascii="Calibri" w:hAnsi="Calibri" w:cs="Arial"/>
                <w:b/>
                <w:noProof/>
              </w:rPr>
            </w:pPr>
          </w:p>
          <w:p w:rsidR="008C46DC" w:rsidRPr="000C55B9" w:rsidRDefault="008C46DC" w:rsidP="00C113C7">
            <w:pPr>
              <w:rPr>
                <w:rFonts w:ascii="Calibri" w:hAnsi="Calibri" w:cs="Arial"/>
                <w:b/>
                <w:noProof/>
              </w:rPr>
            </w:pPr>
          </w:p>
        </w:tc>
        <w:tc>
          <w:tcPr>
            <w:tcW w:w="148" w:type="dxa"/>
            <w:vAlign w:val="bottom"/>
          </w:tcPr>
          <w:p w:rsidR="008C46DC" w:rsidRPr="000C55B9" w:rsidRDefault="008C46DC" w:rsidP="00C113C7">
            <w:pPr>
              <w:jc w:val="right"/>
              <w:rPr>
                <w:rFonts w:ascii="Calibri" w:hAnsi="Calibri" w:cs="Arial"/>
                <w:b/>
                <w:noProof/>
              </w:rPr>
            </w:pPr>
          </w:p>
        </w:tc>
        <w:tc>
          <w:tcPr>
            <w:tcW w:w="1484" w:type="dxa"/>
            <w:tcBorders>
              <w:top w:val="single" w:sz="4" w:space="0" w:color="auto"/>
              <w:bottom w:val="double" w:sz="6" w:space="0" w:color="auto"/>
            </w:tcBorders>
            <w:vAlign w:val="bottom"/>
          </w:tcPr>
          <w:p w:rsidR="008C46DC" w:rsidRPr="000C55B9" w:rsidRDefault="000C55B9" w:rsidP="00C113C7">
            <w:pPr>
              <w:ind w:right="72"/>
              <w:jc w:val="right"/>
              <w:rPr>
                <w:rFonts w:ascii="Calibri" w:hAnsi="Calibri" w:cs="Arial"/>
                <w:b/>
                <w:noProof/>
              </w:rPr>
            </w:pPr>
            <w:r>
              <w:rPr>
                <w:rFonts w:ascii="Calibri" w:hAnsi="Calibri" w:cs="Arial"/>
                <w:b/>
                <w:noProof/>
              </w:rPr>
              <w:t>0,00</w:t>
            </w:r>
          </w:p>
        </w:tc>
        <w:tc>
          <w:tcPr>
            <w:tcW w:w="134" w:type="dxa"/>
            <w:vAlign w:val="bottom"/>
          </w:tcPr>
          <w:p w:rsidR="008C46DC" w:rsidRPr="000C55B9" w:rsidRDefault="008C46DC" w:rsidP="00C113C7">
            <w:pPr>
              <w:ind w:right="72"/>
              <w:jc w:val="right"/>
              <w:rPr>
                <w:rFonts w:ascii="Calibri" w:hAnsi="Calibri" w:cs="Arial"/>
                <w:b/>
                <w:noProof/>
              </w:rPr>
            </w:pPr>
          </w:p>
        </w:tc>
        <w:tc>
          <w:tcPr>
            <w:tcW w:w="1489" w:type="dxa"/>
            <w:tcBorders>
              <w:top w:val="single" w:sz="4" w:space="0" w:color="auto"/>
              <w:bottom w:val="double" w:sz="6" w:space="0" w:color="auto"/>
            </w:tcBorders>
            <w:vAlign w:val="bottom"/>
          </w:tcPr>
          <w:p w:rsidR="008C46DC" w:rsidRPr="000C55B9" w:rsidRDefault="000C55B9" w:rsidP="00C113C7">
            <w:pPr>
              <w:ind w:right="72"/>
              <w:jc w:val="right"/>
              <w:rPr>
                <w:rFonts w:ascii="Calibri" w:hAnsi="Calibri" w:cs="Arial"/>
                <w:b/>
                <w:noProof/>
              </w:rPr>
            </w:pPr>
            <w:r>
              <w:rPr>
                <w:rFonts w:ascii="Calibri" w:hAnsi="Calibri" w:cs="Arial"/>
                <w:b/>
                <w:noProof/>
              </w:rPr>
              <w:t>0,00</w:t>
            </w:r>
          </w:p>
        </w:tc>
        <w:tc>
          <w:tcPr>
            <w:tcW w:w="140" w:type="dxa"/>
            <w:vAlign w:val="bottom"/>
          </w:tcPr>
          <w:p w:rsidR="008C46DC" w:rsidRPr="000C55B9" w:rsidRDefault="008C46DC" w:rsidP="00C113C7">
            <w:pPr>
              <w:ind w:right="72"/>
              <w:jc w:val="right"/>
              <w:rPr>
                <w:rFonts w:ascii="Calibri" w:hAnsi="Calibri" w:cs="Arial"/>
                <w:b/>
                <w:noProof/>
              </w:rPr>
            </w:pPr>
          </w:p>
        </w:tc>
        <w:tc>
          <w:tcPr>
            <w:tcW w:w="1498" w:type="dxa"/>
            <w:tcBorders>
              <w:top w:val="single" w:sz="4" w:space="0" w:color="auto"/>
              <w:bottom w:val="double" w:sz="6" w:space="0" w:color="auto"/>
            </w:tcBorders>
            <w:vAlign w:val="bottom"/>
          </w:tcPr>
          <w:p w:rsidR="008C46DC" w:rsidRPr="000C55B9" w:rsidRDefault="000C55B9" w:rsidP="00C113C7">
            <w:pPr>
              <w:ind w:right="72"/>
              <w:jc w:val="right"/>
              <w:rPr>
                <w:rFonts w:ascii="Calibri" w:hAnsi="Calibri" w:cs="Arial"/>
                <w:b/>
                <w:noProof/>
              </w:rPr>
            </w:pPr>
            <w:r>
              <w:rPr>
                <w:rFonts w:ascii="Calibri" w:hAnsi="Calibri" w:cs="Arial"/>
                <w:b/>
                <w:noProof/>
              </w:rPr>
              <w:t>0,00</w:t>
            </w:r>
          </w:p>
        </w:tc>
        <w:tc>
          <w:tcPr>
            <w:tcW w:w="140" w:type="dxa"/>
            <w:vAlign w:val="bottom"/>
          </w:tcPr>
          <w:p w:rsidR="008C46DC" w:rsidRPr="000C55B9" w:rsidRDefault="008C46DC" w:rsidP="00C113C7">
            <w:pPr>
              <w:ind w:right="72"/>
              <w:jc w:val="right"/>
              <w:rPr>
                <w:rFonts w:ascii="Calibri" w:hAnsi="Calibri" w:cs="Arial"/>
                <w:b/>
                <w:noProof/>
              </w:rPr>
            </w:pPr>
          </w:p>
        </w:tc>
        <w:tc>
          <w:tcPr>
            <w:tcW w:w="1484" w:type="dxa"/>
            <w:tcBorders>
              <w:top w:val="single" w:sz="4" w:space="0" w:color="auto"/>
              <w:bottom w:val="double" w:sz="6" w:space="0" w:color="auto"/>
            </w:tcBorders>
            <w:vAlign w:val="bottom"/>
          </w:tcPr>
          <w:p w:rsidR="008C46DC" w:rsidRPr="000C55B9" w:rsidRDefault="008C46DC" w:rsidP="00C113C7">
            <w:pPr>
              <w:ind w:right="72"/>
              <w:jc w:val="right"/>
              <w:rPr>
                <w:rFonts w:ascii="Calibri" w:hAnsi="Calibri" w:cs="Arial"/>
                <w:b/>
                <w:noProof/>
              </w:rPr>
            </w:pPr>
            <w:r w:rsidRPr="000C55B9">
              <w:rPr>
                <w:rFonts w:ascii="Calibri" w:hAnsi="Calibri" w:cs="Arial"/>
                <w:b/>
                <w:noProof/>
              </w:rPr>
              <w:t>-</w:t>
            </w:r>
          </w:p>
        </w:tc>
      </w:tr>
    </w:tbl>
    <w:p w:rsidR="008C46DC" w:rsidRDefault="008C46DC" w:rsidP="008C46DC">
      <w:pPr>
        <w:rPr>
          <w:rFonts w:ascii="Calibri" w:hAnsi="Calibri" w:cs="Arial"/>
          <w:noProof/>
          <w:highlight w:val="yellow"/>
        </w:rPr>
      </w:pPr>
    </w:p>
    <w:p w:rsidR="000C55B9" w:rsidRDefault="000C55B9" w:rsidP="008C46DC">
      <w:pPr>
        <w:rPr>
          <w:rFonts w:ascii="Calibri" w:hAnsi="Calibri" w:cs="Arial"/>
          <w:noProof/>
          <w:highlight w:val="yellow"/>
        </w:rPr>
      </w:pPr>
    </w:p>
    <w:p w:rsidR="000C55B9" w:rsidRPr="00657B8B" w:rsidRDefault="000C55B9" w:rsidP="008C46DC">
      <w:pPr>
        <w:rPr>
          <w:rFonts w:ascii="Calibri" w:hAnsi="Calibri" w:cs="Arial"/>
          <w:noProof/>
          <w:highlight w:val="yellow"/>
        </w:rPr>
      </w:pPr>
    </w:p>
    <w:p w:rsidR="008C46DC" w:rsidRPr="00550FC6" w:rsidRDefault="008C46DC" w:rsidP="0002568E">
      <w:pPr>
        <w:widowControl w:val="0"/>
        <w:autoSpaceDE w:val="0"/>
        <w:autoSpaceDN w:val="0"/>
        <w:adjustRightInd w:val="0"/>
        <w:jc w:val="both"/>
        <w:rPr>
          <w:rFonts w:ascii="Calibri" w:hAnsi="Calibri" w:cs="Arial"/>
          <w:b/>
          <w:i/>
          <w:noProof/>
          <w:lang w:val="ru-RU"/>
        </w:rPr>
      </w:pPr>
      <w:r w:rsidRPr="000C55B9">
        <w:rPr>
          <w:rFonts w:ascii="Calibri" w:hAnsi="Calibri" w:cs="Arial"/>
          <w:b/>
          <w:i/>
          <w:noProof/>
          <w:lang w:val="ru-RU"/>
        </w:rPr>
        <w:t xml:space="preserve">Pregled najviše i najniže cijene po </w:t>
      </w:r>
      <w:r w:rsidR="000C55B9">
        <w:rPr>
          <w:rFonts w:ascii="Calibri" w:hAnsi="Calibri" w:cs="Arial"/>
          <w:b/>
          <w:i/>
          <w:noProof/>
          <w:lang w:val="sr-Latn-BA"/>
        </w:rPr>
        <w:t>udjelu</w:t>
      </w:r>
      <w:r w:rsidRPr="000C55B9">
        <w:rPr>
          <w:rFonts w:ascii="Calibri" w:hAnsi="Calibri" w:cs="Arial"/>
          <w:b/>
          <w:i/>
          <w:noProof/>
          <w:lang w:val="ru-RU"/>
        </w:rPr>
        <w:t xml:space="preserve"> u predhodne tri godine</w:t>
      </w:r>
    </w:p>
    <w:p w:rsidR="008C46DC" w:rsidRPr="00550FC6" w:rsidRDefault="008C46DC" w:rsidP="008C46DC">
      <w:pPr>
        <w:rPr>
          <w:rFonts w:ascii="Calibri" w:hAnsi="Calibri" w:cs="Arial"/>
          <w:noProof/>
          <w:lang w:val="ru-RU"/>
        </w:rPr>
      </w:pPr>
    </w:p>
    <w:tbl>
      <w:tblPr>
        <w:tblW w:w="9781" w:type="dxa"/>
        <w:tblInd w:w="-459" w:type="dxa"/>
        <w:tblLayout w:type="fixed"/>
        <w:tblLook w:val="0000"/>
      </w:tblPr>
      <w:tblGrid>
        <w:gridCol w:w="3261"/>
        <w:gridCol w:w="236"/>
        <w:gridCol w:w="3019"/>
        <w:gridCol w:w="236"/>
        <w:gridCol w:w="3029"/>
      </w:tblGrid>
      <w:tr w:rsidR="008C46DC" w:rsidRPr="00550FC6" w:rsidTr="00C113C7">
        <w:tc>
          <w:tcPr>
            <w:tcW w:w="3261" w:type="dxa"/>
            <w:tcBorders>
              <w:bottom w:val="single" w:sz="4" w:space="0" w:color="auto"/>
            </w:tcBorders>
            <w:vAlign w:val="bottom"/>
          </w:tcPr>
          <w:p w:rsidR="008C46DC" w:rsidRPr="00550FC6" w:rsidRDefault="008C46DC" w:rsidP="00C113C7">
            <w:pPr>
              <w:jc w:val="center"/>
              <w:rPr>
                <w:rFonts w:ascii="Calibri" w:hAnsi="Calibri" w:cs="Arial"/>
                <w:b/>
                <w:noProof/>
              </w:rPr>
            </w:pPr>
            <w:r w:rsidRPr="00550FC6">
              <w:rPr>
                <w:rFonts w:ascii="Calibri" w:hAnsi="Calibri" w:cs="Arial"/>
                <w:b/>
                <w:noProof/>
              </w:rPr>
              <w:t>Godina</w:t>
            </w:r>
          </w:p>
        </w:tc>
        <w:tc>
          <w:tcPr>
            <w:tcW w:w="236" w:type="dxa"/>
          </w:tcPr>
          <w:p w:rsidR="008C46DC" w:rsidRPr="00550FC6" w:rsidRDefault="008C46DC" w:rsidP="00C113C7">
            <w:pPr>
              <w:jc w:val="center"/>
              <w:rPr>
                <w:rFonts w:ascii="Calibri" w:hAnsi="Calibri" w:cs="Arial"/>
                <w:b/>
                <w:noProof/>
              </w:rPr>
            </w:pPr>
          </w:p>
        </w:tc>
        <w:tc>
          <w:tcPr>
            <w:tcW w:w="3019" w:type="dxa"/>
            <w:tcBorders>
              <w:bottom w:val="single" w:sz="4" w:space="0" w:color="auto"/>
            </w:tcBorders>
            <w:vAlign w:val="bottom"/>
          </w:tcPr>
          <w:p w:rsidR="008C46DC" w:rsidRPr="00550FC6" w:rsidRDefault="008C46DC" w:rsidP="00C113C7">
            <w:pPr>
              <w:ind w:right="72"/>
              <w:jc w:val="right"/>
              <w:rPr>
                <w:rFonts w:ascii="Calibri" w:hAnsi="Calibri" w:cs="Arial"/>
                <w:b/>
                <w:noProof/>
              </w:rPr>
            </w:pPr>
            <w:r w:rsidRPr="00550FC6">
              <w:rPr>
                <w:rFonts w:ascii="Calibri" w:hAnsi="Calibri" w:cs="Arial"/>
                <w:b/>
                <w:noProof/>
              </w:rPr>
              <w:t>Najviša cijena po akciji</w:t>
            </w:r>
          </w:p>
        </w:tc>
        <w:tc>
          <w:tcPr>
            <w:tcW w:w="236" w:type="dxa"/>
            <w:vAlign w:val="bottom"/>
          </w:tcPr>
          <w:p w:rsidR="008C46DC" w:rsidRPr="00550FC6" w:rsidRDefault="008C46DC" w:rsidP="00C113C7">
            <w:pPr>
              <w:ind w:right="72"/>
              <w:jc w:val="right"/>
              <w:rPr>
                <w:rFonts w:ascii="Calibri" w:hAnsi="Calibri" w:cs="Arial"/>
                <w:b/>
                <w:noProof/>
              </w:rPr>
            </w:pPr>
          </w:p>
        </w:tc>
        <w:tc>
          <w:tcPr>
            <w:tcW w:w="3029" w:type="dxa"/>
            <w:tcBorders>
              <w:bottom w:val="single" w:sz="4" w:space="0" w:color="auto"/>
            </w:tcBorders>
            <w:vAlign w:val="bottom"/>
          </w:tcPr>
          <w:p w:rsidR="008C46DC" w:rsidRPr="00550FC6" w:rsidRDefault="008C46DC" w:rsidP="00C113C7">
            <w:pPr>
              <w:ind w:right="72"/>
              <w:jc w:val="right"/>
              <w:rPr>
                <w:rFonts w:ascii="Calibri" w:hAnsi="Calibri" w:cs="Arial"/>
                <w:b/>
                <w:noProof/>
              </w:rPr>
            </w:pPr>
            <w:r w:rsidRPr="00550FC6">
              <w:rPr>
                <w:rFonts w:ascii="Calibri" w:hAnsi="Calibri" w:cs="Arial"/>
                <w:b/>
                <w:noProof/>
              </w:rPr>
              <w:t>Najniža cijene po akciji</w:t>
            </w:r>
          </w:p>
        </w:tc>
      </w:tr>
      <w:tr w:rsidR="008C46DC" w:rsidRPr="00657B8B" w:rsidTr="00C113C7">
        <w:tc>
          <w:tcPr>
            <w:tcW w:w="3261" w:type="dxa"/>
            <w:vAlign w:val="bottom"/>
          </w:tcPr>
          <w:p w:rsidR="008C46DC" w:rsidRPr="000C55B9" w:rsidRDefault="008C46DC" w:rsidP="00C113C7">
            <w:pPr>
              <w:jc w:val="center"/>
              <w:rPr>
                <w:rFonts w:ascii="Calibri" w:hAnsi="Calibri" w:cs="Arial"/>
                <w:noProof/>
              </w:rPr>
            </w:pPr>
          </w:p>
          <w:p w:rsidR="00550FC6" w:rsidRPr="000C55B9" w:rsidRDefault="007D03AB" w:rsidP="00C113C7">
            <w:pPr>
              <w:jc w:val="center"/>
              <w:rPr>
                <w:rFonts w:ascii="Calibri" w:hAnsi="Calibri" w:cs="Arial"/>
                <w:noProof/>
              </w:rPr>
            </w:pPr>
            <w:r w:rsidRPr="000C55B9">
              <w:rPr>
                <w:rFonts w:ascii="Calibri" w:hAnsi="Calibri" w:cs="Arial"/>
                <w:noProof/>
              </w:rPr>
              <w:t>2018.</w:t>
            </w:r>
          </w:p>
        </w:tc>
        <w:tc>
          <w:tcPr>
            <w:tcW w:w="236" w:type="dxa"/>
          </w:tcPr>
          <w:p w:rsidR="008C46DC" w:rsidRPr="000C55B9" w:rsidRDefault="008C46DC" w:rsidP="00C113C7">
            <w:pPr>
              <w:jc w:val="center"/>
              <w:rPr>
                <w:rFonts w:ascii="Calibri" w:hAnsi="Calibri" w:cs="Arial"/>
                <w:noProof/>
              </w:rPr>
            </w:pPr>
          </w:p>
        </w:tc>
        <w:tc>
          <w:tcPr>
            <w:tcW w:w="3019" w:type="dxa"/>
            <w:vAlign w:val="bottom"/>
          </w:tcPr>
          <w:p w:rsidR="008C46DC" w:rsidRPr="000C55B9" w:rsidRDefault="000C55B9" w:rsidP="00C113C7">
            <w:pPr>
              <w:ind w:right="72"/>
              <w:jc w:val="right"/>
              <w:rPr>
                <w:rFonts w:ascii="Calibri" w:hAnsi="Calibri" w:cs="Arial"/>
                <w:noProof/>
              </w:rPr>
            </w:pPr>
            <w:r>
              <w:rPr>
                <w:rFonts w:ascii="Calibri" w:hAnsi="Calibri" w:cs="Arial"/>
                <w:noProof/>
              </w:rPr>
              <w:t>0,02</w:t>
            </w:r>
          </w:p>
        </w:tc>
        <w:tc>
          <w:tcPr>
            <w:tcW w:w="236" w:type="dxa"/>
            <w:vAlign w:val="bottom"/>
          </w:tcPr>
          <w:p w:rsidR="008C46DC" w:rsidRPr="000C55B9" w:rsidRDefault="008C46DC" w:rsidP="00C113C7">
            <w:pPr>
              <w:ind w:right="72"/>
              <w:jc w:val="right"/>
              <w:rPr>
                <w:rFonts w:ascii="Calibri" w:hAnsi="Calibri" w:cs="Arial"/>
                <w:noProof/>
              </w:rPr>
            </w:pPr>
          </w:p>
        </w:tc>
        <w:tc>
          <w:tcPr>
            <w:tcW w:w="3029" w:type="dxa"/>
            <w:vAlign w:val="bottom"/>
          </w:tcPr>
          <w:p w:rsidR="008C46DC" w:rsidRPr="000C55B9" w:rsidRDefault="008C46DC" w:rsidP="00C113C7">
            <w:pPr>
              <w:ind w:right="72"/>
              <w:jc w:val="right"/>
              <w:rPr>
                <w:rFonts w:ascii="Calibri" w:hAnsi="Calibri" w:cs="Arial"/>
                <w:noProof/>
              </w:rPr>
            </w:pPr>
          </w:p>
          <w:p w:rsidR="00550FC6" w:rsidRPr="000C55B9" w:rsidRDefault="000C55B9" w:rsidP="00C113C7">
            <w:pPr>
              <w:ind w:right="72"/>
              <w:jc w:val="right"/>
              <w:rPr>
                <w:rFonts w:ascii="Calibri" w:hAnsi="Calibri" w:cs="Arial"/>
                <w:noProof/>
              </w:rPr>
            </w:pPr>
            <w:r>
              <w:rPr>
                <w:rFonts w:ascii="Calibri" w:hAnsi="Calibri" w:cs="Arial"/>
                <w:noProof/>
              </w:rPr>
              <w:t>0,02</w:t>
            </w:r>
          </w:p>
        </w:tc>
      </w:tr>
      <w:tr w:rsidR="008C46DC" w:rsidRPr="00657B8B" w:rsidTr="00C113C7">
        <w:tc>
          <w:tcPr>
            <w:tcW w:w="3261" w:type="dxa"/>
            <w:vAlign w:val="bottom"/>
          </w:tcPr>
          <w:p w:rsidR="008C46DC" w:rsidRPr="000C55B9" w:rsidRDefault="008C46DC" w:rsidP="00C113C7">
            <w:pPr>
              <w:jc w:val="center"/>
              <w:rPr>
                <w:rFonts w:ascii="Calibri" w:hAnsi="Calibri" w:cs="Arial"/>
                <w:noProof/>
              </w:rPr>
            </w:pPr>
            <w:r w:rsidRPr="000C55B9">
              <w:rPr>
                <w:rFonts w:ascii="Calibri" w:hAnsi="Calibri" w:cs="Arial"/>
                <w:noProof/>
              </w:rPr>
              <w:t>201</w:t>
            </w:r>
            <w:r w:rsidR="00F15C8C" w:rsidRPr="000C55B9">
              <w:rPr>
                <w:rFonts w:ascii="Calibri" w:hAnsi="Calibri" w:cs="Arial"/>
                <w:noProof/>
              </w:rPr>
              <w:t>7</w:t>
            </w:r>
            <w:r w:rsidRPr="000C55B9">
              <w:rPr>
                <w:rFonts w:ascii="Calibri" w:hAnsi="Calibri" w:cs="Arial"/>
                <w:noProof/>
              </w:rPr>
              <w:t>.</w:t>
            </w:r>
          </w:p>
        </w:tc>
        <w:tc>
          <w:tcPr>
            <w:tcW w:w="236" w:type="dxa"/>
          </w:tcPr>
          <w:p w:rsidR="008C46DC" w:rsidRPr="000C55B9" w:rsidRDefault="008C46DC" w:rsidP="00C113C7">
            <w:pPr>
              <w:jc w:val="center"/>
              <w:rPr>
                <w:rFonts w:ascii="Calibri" w:hAnsi="Calibri" w:cs="Arial"/>
                <w:noProof/>
              </w:rPr>
            </w:pPr>
          </w:p>
        </w:tc>
        <w:tc>
          <w:tcPr>
            <w:tcW w:w="3019" w:type="dxa"/>
            <w:vAlign w:val="bottom"/>
          </w:tcPr>
          <w:p w:rsidR="008C46DC" w:rsidRPr="000C55B9" w:rsidRDefault="000C55B9" w:rsidP="00C113C7">
            <w:pPr>
              <w:ind w:right="72"/>
              <w:jc w:val="right"/>
              <w:rPr>
                <w:rFonts w:ascii="Calibri" w:hAnsi="Calibri" w:cs="Arial"/>
                <w:noProof/>
              </w:rPr>
            </w:pPr>
            <w:r>
              <w:rPr>
                <w:rFonts w:ascii="Calibri" w:hAnsi="Calibri" w:cs="Arial"/>
                <w:noProof/>
              </w:rPr>
              <w:t>-</w:t>
            </w:r>
          </w:p>
        </w:tc>
        <w:tc>
          <w:tcPr>
            <w:tcW w:w="236" w:type="dxa"/>
            <w:vAlign w:val="bottom"/>
          </w:tcPr>
          <w:p w:rsidR="008C46DC" w:rsidRPr="000C55B9" w:rsidRDefault="008C46DC" w:rsidP="00C113C7">
            <w:pPr>
              <w:ind w:right="72"/>
              <w:jc w:val="right"/>
              <w:rPr>
                <w:rFonts w:ascii="Calibri" w:hAnsi="Calibri" w:cs="Arial"/>
                <w:noProof/>
              </w:rPr>
            </w:pPr>
          </w:p>
        </w:tc>
        <w:tc>
          <w:tcPr>
            <w:tcW w:w="3029" w:type="dxa"/>
            <w:vAlign w:val="bottom"/>
          </w:tcPr>
          <w:p w:rsidR="008C46DC" w:rsidRPr="000C55B9" w:rsidRDefault="000C55B9" w:rsidP="00C113C7">
            <w:pPr>
              <w:ind w:right="72"/>
              <w:jc w:val="right"/>
              <w:rPr>
                <w:rFonts w:ascii="Calibri" w:hAnsi="Calibri" w:cs="Arial"/>
                <w:noProof/>
              </w:rPr>
            </w:pPr>
            <w:r>
              <w:rPr>
                <w:rFonts w:ascii="Calibri" w:hAnsi="Calibri" w:cs="Arial"/>
                <w:noProof/>
              </w:rPr>
              <w:t>-</w:t>
            </w:r>
          </w:p>
        </w:tc>
      </w:tr>
    </w:tbl>
    <w:p w:rsidR="008C46DC" w:rsidRPr="00657B8B" w:rsidRDefault="008C46DC" w:rsidP="008C46DC">
      <w:pPr>
        <w:rPr>
          <w:rFonts w:ascii="Calibri" w:hAnsi="Calibri" w:cs="Arial"/>
          <w:noProof/>
          <w:highlight w:val="yellow"/>
        </w:rPr>
      </w:pPr>
    </w:p>
    <w:p w:rsidR="004E476A" w:rsidRPr="00657B8B" w:rsidRDefault="004E476A" w:rsidP="008C46DC">
      <w:pPr>
        <w:rPr>
          <w:rFonts w:ascii="Calibri" w:hAnsi="Calibri" w:cs="Arial"/>
          <w:noProof/>
          <w:highlight w:val="yellow"/>
        </w:rPr>
      </w:pPr>
    </w:p>
    <w:p w:rsidR="004E476A" w:rsidRPr="00657B8B" w:rsidRDefault="004E476A" w:rsidP="008C46DC">
      <w:pPr>
        <w:rPr>
          <w:rFonts w:ascii="Calibri" w:hAnsi="Calibri" w:cs="Arial"/>
          <w:noProof/>
          <w:highlight w:val="yellow"/>
        </w:rPr>
      </w:pPr>
    </w:p>
    <w:p w:rsidR="008C46DC" w:rsidRPr="007D03AB" w:rsidRDefault="008C46DC" w:rsidP="0002568E">
      <w:pPr>
        <w:widowControl w:val="0"/>
        <w:autoSpaceDE w:val="0"/>
        <w:autoSpaceDN w:val="0"/>
        <w:adjustRightInd w:val="0"/>
        <w:jc w:val="both"/>
        <w:rPr>
          <w:rFonts w:ascii="Calibri" w:hAnsi="Calibri" w:cs="Arial"/>
          <w:b/>
          <w:i/>
          <w:noProof/>
          <w:lang w:val="ru-RU"/>
        </w:rPr>
      </w:pPr>
      <w:r w:rsidRPr="000C55B9">
        <w:rPr>
          <w:rFonts w:ascii="Calibri" w:hAnsi="Calibri" w:cs="Arial"/>
          <w:b/>
          <w:i/>
          <w:noProof/>
          <w:lang w:val="ru-RU"/>
        </w:rPr>
        <w:t xml:space="preserve">Pregled najviše i najniže vrijednosti imovine fonda i cijene po </w:t>
      </w:r>
      <w:r w:rsidR="000C55B9">
        <w:rPr>
          <w:rFonts w:ascii="Calibri" w:hAnsi="Calibri" w:cs="Arial"/>
          <w:b/>
          <w:i/>
          <w:noProof/>
          <w:lang w:val="sr-Latn-BA"/>
        </w:rPr>
        <w:t>udjelu</w:t>
      </w:r>
      <w:r w:rsidRPr="000C55B9">
        <w:rPr>
          <w:rFonts w:ascii="Calibri" w:hAnsi="Calibri" w:cs="Arial"/>
          <w:b/>
          <w:i/>
          <w:noProof/>
          <w:lang w:val="ru-RU"/>
        </w:rPr>
        <w:t xml:space="preserve"> za isti obračunski period u proteklih pet godina:</w:t>
      </w:r>
    </w:p>
    <w:p w:rsidR="008C46DC" w:rsidRPr="007D03AB" w:rsidRDefault="008C46DC" w:rsidP="008C46DC">
      <w:pPr>
        <w:ind w:left="-142"/>
        <w:rPr>
          <w:rFonts w:ascii="Calibri" w:hAnsi="Calibri" w:cs="Arial"/>
          <w:b/>
          <w:i/>
          <w:noProof/>
          <w:lang w:val="ru-RU"/>
        </w:rPr>
      </w:pPr>
    </w:p>
    <w:tbl>
      <w:tblPr>
        <w:tblW w:w="9781" w:type="dxa"/>
        <w:tblInd w:w="-510" w:type="dxa"/>
        <w:tblLayout w:type="fixed"/>
        <w:tblCellMar>
          <w:left w:w="57" w:type="dxa"/>
          <w:right w:w="57" w:type="dxa"/>
        </w:tblCellMar>
        <w:tblLook w:val="0000"/>
      </w:tblPr>
      <w:tblGrid>
        <w:gridCol w:w="3275"/>
        <w:gridCol w:w="134"/>
        <w:gridCol w:w="1476"/>
        <w:gridCol w:w="134"/>
        <w:gridCol w:w="1497"/>
        <w:gridCol w:w="140"/>
        <w:gridCol w:w="1498"/>
        <w:gridCol w:w="140"/>
        <w:gridCol w:w="1487"/>
      </w:tblGrid>
      <w:tr w:rsidR="008C46DC" w:rsidRPr="007D03AB" w:rsidTr="00C113C7">
        <w:tc>
          <w:tcPr>
            <w:tcW w:w="3275" w:type="dxa"/>
            <w:tcBorders>
              <w:bottom w:val="single" w:sz="4" w:space="0" w:color="auto"/>
            </w:tcBorders>
            <w:vAlign w:val="bottom"/>
          </w:tcPr>
          <w:p w:rsidR="008C46DC" w:rsidRPr="007D03AB" w:rsidRDefault="008C46DC" w:rsidP="00C113C7">
            <w:pPr>
              <w:jc w:val="center"/>
              <w:rPr>
                <w:rFonts w:ascii="Calibri" w:hAnsi="Calibri" w:cs="Arial"/>
                <w:b/>
                <w:noProof/>
              </w:rPr>
            </w:pPr>
            <w:r w:rsidRPr="007D03AB">
              <w:rPr>
                <w:rFonts w:ascii="Calibri" w:hAnsi="Calibri" w:cs="Arial"/>
                <w:b/>
                <w:noProof/>
              </w:rPr>
              <w:t>Godina</w:t>
            </w:r>
          </w:p>
        </w:tc>
        <w:tc>
          <w:tcPr>
            <w:tcW w:w="134" w:type="dxa"/>
          </w:tcPr>
          <w:p w:rsidR="008C46DC" w:rsidRPr="007D03AB" w:rsidRDefault="008C46DC" w:rsidP="00C113C7">
            <w:pPr>
              <w:jc w:val="center"/>
              <w:rPr>
                <w:rFonts w:ascii="Calibri" w:hAnsi="Calibri" w:cs="Arial"/>
                <w:b/>
                <w:noProof/>
              </w:rPr>
            </w:pPr>
          </w:p>
        </w:tc>
        <w:tc>
          <w:tcPr>
            <w:tcW w:w="1476" w:type="dxa"/>
            <w:tcBorders>
              <w:bottom w:val="single" w:sz="4" w:space="0" w:color="auto"/>
            </w:tcBorders>
            <w:vAlign w:val="bottom"/>
          </w:tcPr>
          <w:p w:rsidR="008C46DC" w:rsidRPr="007D03AB" w:rsidRDefault="008C46DC" w:rsidP="00C113C7">
            <w:pPr>
              <w:ind w:right="72"/>
              <w:jc w:val="right"/>
              <w:rPr>
                <w:rFonts w:ascii="Calibri" w:hAnsi="Calibri" w:cs="Arial"/>
                <w:b/>
                <w:noProof/>
              </w:rPr>
            </w:pPr>
            <w:r w:rsidRPr="007D03AB">
              <w:rPr>
                <w:rFonts w:ascii="Calibri" w:hAnsi="Calibri" w:cs="Arial"/>
                <w:b/>
                <w:noProof/>
              </w:rPr>
              <w:t>Najviša vrijednost imovine</w:t>
            </w:r>
          </w:p>
        </w:tc>
        <w:tc>
          <w:tcPr>
            <w:tcW w:w="134" w:type="dxa"/>
          </w:tcPr>
          <w:p w:rsidR="008C46DC" w:rsidRPr="007D03AB" w:rsidRDefault="008C46DC" w:rsidP="00C113C7">
            <w:pPr>
              <w:ind w:right="72"/>
              <w:jc w:val="right"/>
              <w:rPr>
                <w:rFonts w:ascii="Calibri" w:hAnsi="Calibri" w:cs="Arial"/>
                <w:b/>
                <w:noProof/>
              </w:rPr>
            </w:pPr>
          </w:p>
        </w:tc>
        <w:tc>
          <w:tcPr>
            <w:tcW w:w="1497" w:type="dxa"/>
            <w:tcBorders>
              <w:bottom w:val="single" w:sz="4" w:space="0" w:color="auto"/>
            </w:tcBorders>
            <w:vAlign w:val="bottom"/>
          </w:tcPr>
          <w:p w:rsidR="008C46DC" w:rsidRPr="007D03AB" w:rsidRDefault="008C46DC" w:rsidP="00C113C7">
            <w:pPr>
              <w:ind w:right="72"/>
              <w:jc w:val="right"/>
              <w:rPr>
                <w:rFonts w:ascii="Calibri" w:hAnsi="Calibri" w:cs="Arial"/>
                <w:b/>
                <w:noProof/>
                <w:lang w:val="ru-RU"/>
              </w:rPr>
            </w:pPr>
            <w:r w:rsidRPr="007D03AB">
              <w:rPr>
                <w:rFonts w:ascii="Calibri" w:hAnsi="Calibri" w:cs="Arial"/>
                <w:b/>
                <w:noProof/>
                <w:lang w:val="ru-RU"/>
              </w:rPr>
              <w:t>Cijena po akciji ili udjelu</w:t>
            </w:r>
          </w:p>
        </w:tc>
        <w:tc>
          <w:tcPr>
            <w:tcW w:w="140" w:type="dxa"/>
          </w:tcPr>
          <w:p w:rsidR="008C46DC" w:rsidRPr="007D03AB" w:rsidRDefault="008C46DC" w:rsidP="00C113C7">
            <w:pPr>
              <w:ind w:right="72"/>
              <w:jc w:val="right"/>
              <w:rPr>
                <w:rFonts w:ascii="Calibri" w:hAnsi="Calibri" w:cs="Arial"/>
                <w:b/>
                <w:noProof/>
                <w:lang w:val="ru-RU"/>
              </w:rPr>
            </w:pPr>
          </w:p>
        </w:tc>
        <w:tc>
          <w:tcPr>
            <w:tcW w:w="1498" w:type="dxa"/>
            <w:tcBorders>
              <w:bottom w:val="single" w:sz="4" w:space="0" w:color="auto"/>
            </w:tcBorders>
            <w:vAlign w:val="bottom"/>
          </w:tcPr>
          <w:p w:rsidR="008C46DC" w:rsidRPr="007D03AB" w:rsidRDefault="008C46DC" w:rsidP="00C113C7">
            <w:pPr>
              <w:ind w:right="72"/>
              <w:jc w:val="right"/>
              <w:rPr>
                <w:rFonts w:ascii="Calibri" w:hAnsi="Calibri" w:cs="Arial"/>
                <w:b/>
                <w:noProof/>
              </w:rPr>
            </w:pPr>
            <w:r w:rsidRPr="007D03AB">
              <w:rPr>
                <w:rFonts w:ascii="Calibri" w:hAnsi="Calibri" w:cs="Arial"/>
                <w:b/>
                <w:noProof/>
              </w:rPr>
              <w:t>Najniža vrijednost imovine</w:t>
            </w:r>
          </w:p>
        </w:tc>
        <w:tc>
          <w:tcPr>
            <w:tcW w:w="140" w:type="dxa"/>
          </w:tcPr>
          <w:p w:rsidR="008C46DC" w:rsidRPr="007D03AB" w:rsidRDefault="008C46DC" w:rsidP="00C113C7">
            <w:pPr>
              <w:ind w:right="72"/>
              <w:jc w:val="right"/>
              <w:rPr>
                <w:rFonts w:ascii="Calibri" w:hAnsi="Calibri" w:cs="Arial"/>
                <w:b/>
                <w:noProof/>
              </w:rPr>
            </w:pPr>
          </w:p>
        </w:tc>
        <w:tc>
          <w:tcPr>
            <w:tcW w:w="1487" w:type="dxa"/>
            <w:tcBorders>
              <w:bottom w:val="single" w:sz="4" w:space="0" w:color="auto"/>
            </w:tcBorders>
            <w:vAlign w:val="bottom"/>
          </w:tcPr>
          <w:p w:rsidR="008C46DC" w:rsidRPr="007D03AB" w:rsidRDefault="008C46DC" w:rsidP="00C113C7">
            <w:pPr>
              <w:ind w:right="72"/>
              <w:jc w:val="right"/>
              <w:rPr>
                <w:rFonts w:ascii="Calibri" w:hAnsi="Calibri" w:cs="Arial"/>
                <w:b/>
                <w:noProof/>
                <w:lang w:val="ru-RU"/>
              </w:rPr>
            </w:pPr>
            <w:r w:rsidRPr="007D03AB">
              <w:rPr>
                <w:rFonts w:ascii="Calibri" w:hAnsi="Calibri" w:cs="Arial"/>
                <w:b/>
                <w:noProof/>
                <w:lang w:val="ru-RU"/>
              </w:rPr>
              <w:t>Cijena po akciji ili udjelu</w:t>
            </w:r>
          </w:p>
        </w:tc>
      </w:tr>
      <w:tr w:rsidR="008C46DC" w:rsidRPr="007D03AB" w:rsidTr="00C113C7">
        <w:tc>
          <w:tcPr>
            <w:tcW w:w="3275" w:type="dxa"/>
            <w:vAlign w:val="bottom"/>
          </w:tcPr>
          <w:p w:rsidR="008C46DC" w:rsidRPr="007D03AB" w:rsidRDefault="008C46DC" w:rsidP="00C113C7">
            <w:pPr>
              <w:jc w:val="center"/>
              <w:rPr>
                <w:rFonts w:ascii="Calibri" w:hAnsi="Calibri" w:cs="Arial"/>
                <w:noProof/>
                <w:lang w:val="ru-RU"/>
              </w:rPr>
            </w:pPr>
          </w:p>
        </w:tc>
        <w:tc>
          <w:tcPr>
            <w:tcW w:w="134" w:type="dxa"/>
          </w:tcPr>
          <w:p w:rsidR="008C46DC" w:rsidRPr="007D03AB" w:rsidRDefault="008C46DC" w:rsidP="00C113C7">
            <w:pPr>
              <w:jc w:val="center"/>
              <w:rPr>
                <w:rFonts w:ascii="Calibri" w:hAnsi="Calibri" w:cs="Arial"/>
                <w:noProof/>
                <w:lang w:val="ru-RU"/>
              </w:rPr>
            </w:pPr>
          </w:p>
        </w:tc>
        <w:tc>
          <w:tcPr>
            <w:tcW w:w="1476" w:type="dxa"/>
            <w:vAlign w:val="bottom"/>
          </w:tcPr>
          <w:p w:rsidR="008C46DC" w:rsidRPr="007D03AB" w:rsidRDefault="008C46DC" w:rsidP="00C113C7">
            <w:pPr>
              <w:ind w:right="72"/>
              <w:jc w:val="right"/>
              <w:rPr>
                <w:rFonts w:ascii="Calibri" w:hAnsi="Calibri" w:cs="Arial"/>
                <w:noProof/>
                <w:lang w:val="ru-RU"/>
              </w:rPr>
            </w:pPr>
          </w:p>
        </w:tc>
        <w:tc>
          <w:tcPr>
            <w:tcW w:w="134" w:type="dxa"/>
          </w:tcPr>
          <w:p w:rsidR="008C46DC" w:rsidRPr="007D03AB" w:rsidRDefault="008C46DC" w:rsidP="00C113C7">
            <w:pPr>
              <w:ind w:right="72"/>
              <w:jc w:val="right"/>
              <w:rPr>
                <w:rFonts w:ascii="Calibri" w:hAnsi="Calibri" w:cs="Arial"/>
                <w:noProof/>
                <w:lang w:val="ru-RU"/>
              </w:rPr>
            </w:pPr>
          </w:p>
        </w:tc>
        <w:tc>
          <w:tcPr>
            <w:tcW w:w="1497" w:type="dxa"/>
            <w:vAlign w:val="bottom"/>
          </w:tcPr>
          <w:p w:rsidR="008C46DC" w:rsidRPr="007D03AB" w:rsidRDefault="008C46DC" w:rsidP="00C113C7">
            <w:pPr>
              <w:ind w:right="72"/>
              <w:jc w:val="right"/>
              <w:rPr>
                <w:rFonts w:ascii="Calibri" w:hAnsi="Calibri" w:cs="Arial"/>
                <w:noProof/>
                <w:lang w:val="ru-RU"/>
              </w:rPr>
            </w:pPr>
          </w:p>
        </w:tc>
        <w:tc>
          <w:tcPr>
            <w:tcW w:w="140" w:type="dxa"/>
          </w:tcPr>
          <w:p w:rsidR="008C46DC" w:rsidRPr="007D03AB" w:rsidRDefault="008C46DC" w:rsidP="00C113C7">
            <w:pPr>
              <w:ind w:right="72"/>
              <w:jc w:val="right"/>
              <w:rPr>
                <w:rFonts w:ascii="Calibri" w:hAnsi="Calibri" w:cs="Arial"/>
                <w:noProof/>
                <w:lang w:val="ru-RU"/>
              </w:rPr>
            </w:pPr>
          </w:p>
        </w:tc>
        <w:tc>
          <w:tcPr>
            <w:tcW w:w="1498" w:type="dxa"/>
            <w:vAlign w:val="bottom"/>
          </w:tcPr>
          <w:p w:rsidR="008C46DC" w:rsidRPr="007D03AB" w:rsidRDefault="008C46DC" w:rsidP="00C113C7">
            <w:pPr>
              <w:ind w:right="72"/>
              <w:jc w:val="right"/>
              <w:rPr>
                <w:rFonts w:ascii="Calibri" w:hAnsi="Calibri" w:cs="Arial"/>
                <w:noProof/>
                <w:lang w:val="ru-RU"/>
              </w:rPr>
            </w:pPr>
          </w:p>
        </w:tc>
        <w:tc>
          <w:tcPr>
            <w:tcW w:w="140" w:type="dxa"/>
          </w:tcPr>
          <w:p w:rsidR="008C46DC" w:rsidRPr="007D03AB" w:rsidRDefault="008C46DC" w:rsidP="00C113C7">
            <w:pPr>
              <w:ind w:right="72"/>
              <w:jc w:val="right"/>
              <w:rPr>
                <w:rFonts w:ascii="Calibri" w:hAnsi="Calibri" w:cs="Arial"/>
                <w:noProof/>
                <w:lang w:val="ru-RU"/>
              </w:rPr>
            </w:pPr>
          </w:p>
        </w:tc>
        <w:tc>
          <w:tcPr>
            <w:tcW w:w="1487" w:type="dxa"/>
            <w:vAlign w:val="bottom"/>
          </w:tcPr>
          <w:p w:rsidR="008C46DC" w:rsidRPr="007D03AB" w:rsidRDefault="008C46DC" w:rsidP="00C113C7">
            <w:pPr>
              <w:ind w:right="72"/>
              <w:jc w:val="right"/>
              <w:rPr>
                <w:rFonts w:ascii="Calibri" w:hAnsi="Calibri" w:cs="Arial"/>
                <w:noProof/>
                <w:lang w:val="ru-RU"/>
              </w:rPr>
            </w:pPr>
          </w:p>
        </w:tc>
      </w:tr>
      <w:tr w:rsidR="007D03AB" w:rsidRPr="007D03AB" w:rsidTr="005C5B68">
        <w:tc>
          <w:tcPr>
            <w:tcW w:w="3275" w:type="dxa"/>
            <w:vAlign w:val="bottom"/>
          </w:tcPr>
          <w:p w:rsidR="007D03AB" w:rsidRDefault="007D03AB" w:rsidP="005C5B68">
            <w:pPr>
              <w:jc w:val="center"/>
              <w:rPr>
                <w:rFonts w:ascii="Calibri" w:hAnsi="Calibri" w:cs="Arial"/>
                <w:noProof/>
              </w:rPr>
            </w:pPr>
          </w:p>
          <w:p w:rsidR="007D03AB" w:rsidRPr="007D03AB" w:rsidRDefault="007D03AB" w:rsidP="005C5B68">
            <w:pPr>
              <w:jc w:val="center"/>
              <w:rPr>
                <w:rFonts w:ascii="Calibri" w:hAnsi="Calibri" w:cs="Arial"/>
                <w:noProof/>
              </w:rPr>
            </w:pPr>
            <w:r w:rsidRPr="007D03AB">
              <w:rPr>
                <w:rFonts w:ascii="Calibri" w:hAnsi="Calibri" w:cs="Arial"/>
                <w:noProof/>
              </w:rPr>
              <w:t>2</w:t>
            </w:r>
            <w:r>
              <w:rPr>
                <w:rFonts w:ascii="Calibri" w:hAnsi="Calibri" w:cs="Arial"/>
                <w:noProof/>
              </w:rPr>
              <w:t>018</w:t>
            </w:r>
            <w:r w:rsidRPr="007D03AB">
              <w:rPr>
                <w:rFonts w:ascii="Calibri" w:hAnsi="Calibri" w:cs="Arial"/>
                <w:noProof/>
              </w:rPr>
              <w:t>.</w:t>
            </w:r>
          </w:p>
        </w:tc>
        <w:tc>
          <w:tcPr>
            <w:tcW w:w="134" w:type="dxa"/>
          </w:tcPr>
          <w:p w:rsidR="007D03AB" w:rsidRPr="007D03AB" w:rsidRDefault="007D03AB" w:rsidP="005C5B68">
            <w:pPr>
              <w:jc w:val="center"/>
              <w:rPr>
                <w:rFonts w:ascii="Calibri" w:hAnsi="Calibri" w:cs="Arial"/>
                <w:noProof/>
              </w:rPr>
            </w:pPr>
          </w:p>
        </w:tc>
        <w:tc>
          <w:tcPr>
            <w:tcW w:w="1476" w:type="dxa"/>
            <w:vAlign w:val="bottom"/>
          </w:tcPr>
          <w:p w:rsidR="007D03AB" w:rsidRPr="007D03AB" w:rsidRDefault="000C55B9" w:rsidP="007D03AB">
            <w:pPr>
              <w:ind w:right="72"/>
              <w:rPr>
                <w:rFonts w:ascii="Calibri" w:hAnsi="Calibri" w:cs="Arial"/>
                <w:noProof/>
              </w:rPr>
            </w:pPr>
            <w:r>
              <w:rPr>
                <w:rFonts w:ascii="Calibri" w:hAnsi="Calibri" w:cs="Arial"/>
                <w:noProof/>
              </w:rPr>
              <w:t>3.920.134,95</w:t>
            </w:r>
          </w:p>
        </w:tc>
        <w:tc>
          <w:tcPr>
            <w:tcW w:w="134" w:type="dxa"/>
          </w:tcPr>
          <w:p w:rsidR="007D03AB" w:rsidRPr="007D03AB" w:rsidRDefault="007D03AB" w:rsidP="005C5B68">
            <w:pPr>
              <w:ind w:right="72"/>
              <w:jc w:val="center"/>
              <w:rPr>
                <w:rFonts w:ascii="Calibri" w:hAnsi="Calibri" w:cs="Arial"/>
                <w:noProof/>
              </w:rPr>
            </w:pPr>
          </w:p>
        </w:tc>
        <w:tc>
          <w:tcPr>
            <w:tcW w:w="1497" w:type="dxa"/>
            <w:vAlign w:val="bottom"/>
          </w:tcPr>
          <w:p w:rsidR="007D03AB" w:rsidRPr="007D03AB" w:rsidRDefault="000C55B9" w:rsidP="005C5B68">
            <w:pPr>
              <w:ind w:right="72"/>
              <w:jc w:val="center"/>
              <w:rPr>
                <w:rFonts w:ascii="Calibri" w:hAnsi="Calibri" w:cs="Arial"/>
                <w:noProof/>
              </w:rPr>
            </w:pPr>
            <w:r>
              <w:rPr>
                <w:rFonts w:ascii="Calibri" w:hAnsi="Calibri" w:cs="Arial"/>
                <w:noProof/>
              </w:rPr>
              <w:t>0,0303</w:t>
            </w:r>
          </w:p>
        </w:tc>
        <w:tc>
          <w:tcPr>
            <w:tcW w:w="140" w:type="dxa"/>
          </w:tcPr>
          <w:p w:rsidR="007D03AB" w:rsidRPr="007D03AB" w:rsidRDefault="007D03AB" w:rsidP="005C5B68">
            <w:pPr>
              <w:ind w:right="72"/>
              <w:jc w:val="center"/>
              <w:rPr>
                <w:rFonts w:ascii="Calibri" w:hAnsi="Calibri" w:cs="Arial"/>
                <w:noProof/>
              </w:rPr>
            </w:pPr>
          </w:p>
        </w:tc>
        <w:tc>
          <w:tcPr>
            <w:tcW w:w="1498" w:type="dxa"/>
            <w:vAlign w:val="bottom"/>
          </w:tcPr>
          <w:p w:rsidR="007D03AB" w:rsidRPr="007D03AB" w:rsidRDefault="000C55B9" w:rsidP="005C5B68">
            <w:pPr>
              <w:ind w:right="72"/>
              <w:jc w:val="center"/>
              <w:rPr>
                <w:rFonts w:ascii="Calibri" w:hAnsi="Calibri" w:cs="Arial"/>
                <w:noProof/>
              </w:rPr>
            </w:pPr>
            <w:r>
              <w:rPr>
                <w:rFonts w:ascii="Calibri" w:hAnsi="Calibri" w:cs="Arial"/>
                <w:noProof/>
              </w:rPr>
              <w:t>3.819.053,32</w:t>
            </w:r>
          </w:p>
        </w:tc>
        <w:tc>
          <w:tcPr>
            <w:tcW w:w="140" w:type="dxa"/>
          </w:tcPr>
          <w:p w:rsidR="007D03AB" w:rsidRPr="007D03AB" w:rsidRDefault="007D03AB" w:rsidP="005C5B68">
            <w:pPr>
              <w:ind w:right="72"/>
              <w:jc w:val="center"/>
              <w:rPr>
                <w:rFonts w:ascii="Calibri" w:hAnsi="Calibri" w:cs="Arial"/>
                <w:noProof/>
              </w:rPr>
            </w:pPr>
          </w:p>
        </w:tc>
        <w:tc>
          <w:tcPr>
            <w:tcW w:w="1487" w:type="dxa"/>
            <w:vAlign w:val="bottom"/>
          </w:tcPr>
          <w:p w:rsidR="007D03AB" w:rsidRPr="007D03AB" w:rsidRDefault="000C55B9" w:rsidP="005C5B68">
            <w:pPr>
              <w:ind w:right="72"/>
              <w:jc w:val="center"/>
              <w:rPr>
                <w:rFonts w:ascii="Calibri" w:hAnsi="Calibri" w:cs="Arial"/>
                <w:noProof/>
              </w:rPr>
            </w:pPr>
            <w:r>
              <w:rPr>
                <w:rFonts w:ascii="Calibri" w:hAnsi="Calibri" w:cs="Arial"/>
                <w:noProof/>
              </w:rPr>
              <w:t>0,0295</w:t>
            </w:r>
          </w:p>
        </w:tc>
      </w:tr>
      <w:tr w:rsidR="007D03AB" w:rsidRPr="000C55B9" w:rsidTr="005C5B68">
        <w:tc>
          <w:tcPr>
            <w:tcW w:w="3275" w:type="dxa"/>
            <w:vAlign w:val="bottom"/>
          </w:tcPr>
          <w:p w:rsidR="007D03AB" w:rsidRDefault="007D03AB" w:rsidP="007D03AB">
            <w:pPr>
              <w:rPr>
                <w:rFonts w:ascii="Calibri" w:hAnsi="Calibri" w:cs="Arial"/>
                <w:noProof/>
              </w:rPr>
            </w:pPr>
          </w:p>
          <w:p w:rsidR="007D03AB" w:rsidRPr="000C55B9" w:rsidRDefault="007D03AB" w:rsidP="005C5B68">
            <w:pPr>
              <w:jc w:val="center"/>
              <w:rPr>
                <w:rFonts w:ascii="Calibri" w:hAnsi="Calibri" w:cs="Arial"/>
                <w:noProof/>
              </w:rPr>
            </w:pPr>
            <w:r w:rsidRPr="000C55B9">
              <w:rPr>
                <w:rFonts w:ascii="Calibri" w:hAnsi="Calibri" w:cs="Arial"/>
                <w:noProof/>
              </w:rPr>
              <w:t>2017.</w:t>
            </w:r>
          </w:p>
        </w:tc>
        <w:tc>
          <w:tcPr>
            <w:tcW w:w="134" w:type="dxa"/>
          </w:tcPr>
          <w:p w:rsidR="007D03AB" w:rsidRPr="000C55B9" w:rsidRDefault="007D03AB" w:rsidP="005C5B68">
            <w:pPr>
              <w:jc w:val="center"/>
              <w:rPr>
                <w:rFonts w:ascii="Calibri" w:hAnsi="Calibri" w:cs="Arial"/>
                <w:noProof/>
              </w:rPr>
            </w:pPr>
          </w:p>
        </w:tc>
        <w:tc>
          <w:tcPr>
            <w:tcW w:w="1476" w:type="dxa"/>
            <w:vAlign w:val="bottom"/>
          </w:tcPr>
          <w:p w:rsidR="007D03AB" w:rsidRPr="000C55B9" w:rsidRDefault="000C55B9" w:rsidP="007D03AB">
            <w:pPr>
              <w:ind w:right="72"/>
              <w:rPr>
                <w:rFonts w:ascii="Calibri" w:hAnsi="Calibri" w:cs="Arial"/>
                <w:noProof/>
              </w:rPr>
            </w:pPr>
            <w:r>
              <w:rPr>
                <w:rFonts w:ascii="Calibri" w:hAnsi="Calibri" w:cs="Arial"/>
                <w:noProof/>
              </w:rPr>
              <w:t>-</w:t>
            </w:r>
          </w:p>
        </w:tc>
        <w:tc>
          <w:tcPr>
            <w:tcW w:w="134" w:type="dxa"/>
          </w:tcPr>
          <w:p w:rsidR="007D03AB" w:rsidRPr="000C55B9" w:rsidRDefault="007D03AB" w:rsidP="005C5B68">
            <w:pPr>
              <w:ind w:right="72"/>
              <w:jc w:val="center"/>
              <w:rPr>
                <w:rFonts w:ascii="Calibri" w:hAnsi="Calibri" w:cs="Arial"/>
                <w:noProof/>
              </w:rPr>
            </w:pPr>
          </w:p>
        </w:tc>
        <w:tc>
          <w:tcPr>
            <w:tcW w:w="1497" w:type="dxa"/>
            <w:vAlign w:val="bottom"/>
          </w:tcPr>
          <w:p w:rsidR="007D03AB" w:rsidRPr="000C55B9" w:rsidRDefault="000C55B9" w:rsidP="005C5B68">
            <w:pPr>
              <w:ind w:right="72"/>
              <w:jc w:val="center"/>
              <w:rPr>
                <w:rFonts w:ascii="Calibri" w:hAnsi="Calibri" w:cs="Arial"/>
                <w:noProof/>
              </w:rPr>
            </w:pPr>
            <w:r>
              <w:rPr>
                <w:rFonts w:ascii="Calibri" w:hAnsi="Calibri" w:cs="Arial"/>
                <w:noProof/>
              </w:rPr>
              <w:t>-</w:t>
            </w:r>
          </w:p>
        </w:tc>
        <w:tc>
          <w:tcPr>
            <w:tcW w:w="140" w:type="dxa"/>
          </w:tcPr>
          <w:p w:rsidR="007D03AB" w:rsidRPr="000C55B9" w:rsidRDefault="007D03AB" w:rsidP="005C5B68">
            <w:pPr>
              <w:ind w:right="72"/>
              <w:jc w:val="center"/>
              <w:rPr>
                <w:rFonts w:ascii="Calibri" w:hAnsi="Calibri" w:cs="Arial"/>
                <w:noProof/>
              </w:rPr>
            </w:pPr>
          </w:p>
        </w:tc>
        <w:tc>
          <w:tcPr>
            <w:tcW w:w="1498" w:type="dxa"/>
            <w:vAlign w:val="bottom"/>
          </w:tcPr>
          <w:p w:rsidR="007D03AB" w:rsidRPr="000C55B9" w:rsidRDefault="000C55B9" w:rsidP="005C5B68">
            <w:pPr>
              <w:ind w:right="72"/>
              <w:jc w:val="center"/>
              <w:rPr>
                <w:rFonts w:ascii="Calibri" w:hAnsi="Calibri" w:cs="Arial"/>
                <w:noProof/>
              </w:rPr>
            </w:pPr>
            <w:r>
              <w:rPr>
                <w:rFonts w:ascii="Calibri" w:hAnsi="Calibri" w:cs="Arial"/>
                <w:noProof/>
              </w:rPr>
              <w:t>-</w:t>
            </w:r>
          </w:p>
        </w:tc>
        <w:tc>
          <w:tcPr>
            <w:tcW w:w="140" w:type="dxa"/>
          </w:tcPr>
          <w:p w:rsidR="007D03AB" w:rsidRPr="000C55B9" w:rsidRDefault="007D03AB" w:rsidP="005C5B68">
            <w:pPr>
              <w:ind w:right="72"/>
              <w:jc w:val="center"/>
              <w:rPr>
                <w:rFonts w:ascii="Calibri" w:hAnsi="Calibri" w:cs="Arial"/>
                <w:noProof/>
              </w:rPr>
            </w:pPr>
          </w:p>
        </w:tc>
        <w:tc>
          <w:tcPr>
            <w:tcW w:w="1487" w:type="dxa"/>
            <w:vAlign w:val="bottom"/>
          </w:tcPr>
          <w:p w:rsidR="007D03AB" w:rsidRPr="000C55B9" w:rsidRDefault="000C55B9" w:rsidP="005C5B68">
            <w:pPr>
              <w:ind w:right="72"/>
              <w:jc w:val="center"/>
              <w:rPr>
                <w:rFonts w:ascii="Calibri" w:hAnsi="Calibri" w:cs="Arial"/>
                <w:noProof/>
              </w:rPr>
            </w:pPr>
            <w:r>
              <w:rPr>
                <w:rFonts w:ascii="Calibri" w:hAnsi="Calibri" w:cs="Arial"/>
                <w:noProof/>
              </w:rPr>
              <w:t>-</w:t>
            </w:r>
          </w:p>
        </w:tc>
      </w:tr>
      <w:tr w:rsidR="007D03AB" w:rsidRPr="000C55B9" w:rsidTr="00C113C7">
        <w:tc>
          <w:tcPr>
            <w:tcW w:w="3275" w:type="dxa"/>
            <w:vAlign w:val="bottom"/>
          </w:tcPr>
          <w:p w:rsidR="007D03AB" w:rsidRPr="000C55B9" w:rsidRDefault="007D03AB" w:rsidP="00C113C7">
            <w:pPr>
              <w:jc w:val="center"/>
              <w:rPr>
                <w:rFonts w:ascii="Calibri" w:hAnsi="Calibri" w:cs="Arial"/>
                <w:noProof/>
              </w:rPr>
            </w:pPr>
          </w:p>
        </w:tc>
        <w:tc>
          <w:tcPr>
            <w:tcW w:w="134" w:type="dxa"/>
          </w:tcPr>
          <w:p w:rsidR="007D03AB" w:rsidRPr="000C55B9" w:rsidRDefault="007D03AB" w:rsidP="00C113C7">
            <w:pPr>
              <w:jc w:val="center"/>
              <w:rPr>
                <w:rFonts w:ascii="Calibri" w:hAnsi="Calibri" w:cs="Arial"/>
                <w:noProof/>
              </w:rPr>
            </w:pPr>
          </w:p>
        </w:tc>
        <w:tc>
          <w:tcPr>
            <w:tcW w:w="1476" w:type="dxa"/>
            <w:vAlign w:val="bottom"/>
          </w:tcPr>
          <w:p w:rsidR="007D03AB" w:rsidRPr="000C55B9" w:rsidRDefault="007D03AB" w:rsidP="0002568E">
            <w:pPr>
              <w:ind w:right="72"/>
              <w:jc w:val="center"/>
              <w:rPr>
                <w:rFonts w:ascii="Calibri" w:hAnsi="Calibri" w:cs="Arial"/>
                <w:noProof/>
              </w:rPr>
            </w:pPr>
          </w:p>
        </w:tc>
        <w:tc>
          <w:tcPr>
            <w:tcW w:w="134" w:type="dxa"/>
          </w:tcPr>
          <w:p w:rsidR="007D03AB" w:rsidRPr="000C55B9" w:rsidRDefault="007D03AB" w:rsidP="0002568E">
            <w:pPr>
              <w:ind w:right="72"/>
              <w:jc w:val="center"/>
              <w:rPr>
                <w:rFonts w:ascii="Calibri" w:hAnsi="Calibri" w:cs="Arial"/>
                <w:noProof/>
              </w:rPr>
            </w:pPr>
          </w:p>
        </w:tc>
        <w:tc>
          <w:tcPr>
            <w:tcW w:w="1497" w:type="dxa"/>
            <w:vAlign w:val="bottom"/>
          </w:tcPr>
          <w:p w:rsidR="007D03AB" w:rsidRPr="000C55B9" w:rsidRDefault="007D03AB" w:rsidP="0002568E">
            <w:pPr>
              <w:ind w:right="72"/>
              <w:jc w:val="center"/>
              <w:rPr>
                <w:rFonts w:ascii="Calibri" w:hAnsi="Calibri" w:cs="Arial"/>
                <w:noProof/>
              </w:rPr>
            </w:pPr>
          </w:p>
        </w:tc>
        <w:tc>
          <w:tcPr>
            <w:tcW w:w="140" w:type="dxa"/>
          </w:tcPr>
          <w:p w:rsidR="007D03AB" w:rsidRPr="000C55B9" w:rsidRDefault="007D03AB" w:rsidP="0002568E">
            <w:pPr>
              <w:ind w:right="72"/>
              <w:jc w:val="center"/>
              <w:rPr>
                <w:rFonts w:ascii="Calibri" w:hAnsi="Calibri" w:cs="Arial"/>
                <w:noProof/>
              </w:rPr>
            </w:pPr>
          </w:p>
        </w:tc>
        <w:tc>
          <w:tcPr>
            <w:tcW w:w="1498" w:type="dxa"/>
            <w:vAlign w:val="bottom"/>
          </w:tcPr>
          <w:p w:rsidR="007D03AB" w:rsidRPr="000C55B9" w:rsidRDefault="007D03AB" w:rsidP="0002568E">
            <w:pPr>
              <w:ind w:right="72"/>
              <w:jc w:val="center"/>
              <w:rPr>
                <w:rFonts w:ascii="Calibri" w:hAnsi="Calibri" w:cs="Arial"/>
                <w:noProof/>
              </w:rPr>
            </w:pPr>
          </w:p>
        </w:tc>
        <w:tc>
          <w:tcPr>
            <w:tcW w:w="140" w:type="dxa"/>
          </w:tcPr>
          <w:p w:rsidR="007D03AB" w:rsidRPr="000C55B9" w:rsidRDefault="007D03AB" w:rsidP="0002568E">
            <w:pPr>
              <w:ind w:right="72"/>
              <w:jc w:val="center"/>
              <w:rPr>
                <w:rFonts w:ascii="Calibri" w:hAnsi="Calibri" w:cs="Arial"/>
                <w:noProof/>
              </w:rPr>
            </w:pPr>
          </w:p>
        </w:tc>
        <w:tc>
          <w:tcPr>
            <w:tcW w:w="1487" w:type="dxa"/>
            <w:vAlign w:val="bottom"/>
          </w:tcPr>
          <w:p w:rsidR="007D03AB" w:rsidRPr="000C55B9" w:rsidRDefault="007D03AB" w:rsidP="0002568E">
            <w:pPr>
              <w:ind w:right="72"/>
              <w:jc w:val="center"/>
              <w:rPr>
                <w:rFonts w:ascii="Calibri" w:hAnsi="Calibri" w:cs="Arial"/>
                <w:noProof/>
              </w:rPr>
            </w:pPr>
          </w:p>
        </w:tc>
      </w:tr>
    </w:tbl>
    <w:p w:rsidR="008C46DC" w:rsidRPr="000C55B9" w:rsidRDefault="008C46DC" w:rsidP="00947C83">
      <w:pPr>
        <w:rPr>
          <w:rFonts w:ascii="Calibri" w:hAnsi="Calibri" w:cs="Arial"/>
          <w:noProof/>
        </w:rPr>
      </w:pPr>
    </w:p>
    <w:sectPr w:rsidR="008C46DC" w:rsidRPr="000C55B9" w:rsidSect="00AF6BE9">
      <w:footerReference w:type="even" r:id="rId14"/>
      <w:footerReference w:type="default" r:id="rId15"/>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597" w:rsidRDefault="00535597">
      <w:r>
        <w:separator/>
      </w:r>
    </w:p>
  </w:endnote>
  <w:endnote w:type="continuationSeparator" w:id="0">
    <w:p w:rsidR="00535597" w:rsidRDefault="005355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00" w:rsidRDefault="005424A9" w:rsidP="00DA450A">
    <w:pPr>
      <w:pStyle w:val="Footer"/>
      <w:framePr w:wrap="around" w:vAnchor="text" w:hAnchor="margin" w:xAlign="right" w:y="1"/>
      <w:rPr>
        <w:rStyle w:val="PageNumber"/>
      </w:rPr>
    </w:pPr>
    <w:r>
      <w:rPr>
        <w:rStyle w:val="PageNumber"/>
      </w:rPr>
      <w:fldChar w:fldCharType="begin"/>
    </w:r>
    <w:r w:rsidR="00660C00">
      <w:rPr>
        <w:rStyle w:val="PageNumber"/>
      </w:rPr>
      <w:instrText xml:space="preserve">PAGE  </w:instrText>
    </w:r>
    <w:r>
      <w:rPr>
        <w:rStyle w:val="PageNumber"/>
      </w:rPr>
      <w:fldChar w:fldCharType="end"/>
    </w:r>
  </w:p>
  <w:p w:rsidR="00660C00" w:rsidRDefault="00660C00"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00" w:rsidRDefault="005424A9" w:rsidP="00DA450A">
    <w:pPr>
      <w:pStyle w:val="Footer"/>
      <w:framePr w:wrap="around" w:vAnchor="text" w:hAnchor="margin" w:xAlign="right" w:y="1"/>
      <w:rPr>
        <w:rStyle w:val="PageNumber"/>
      </w:rPr>
    </w:pPr>
    <w:r>
      <w:rPr>
        <w:rStyle w:val="PageNumber"/>
      </w:rPr>
      <w:fldChar w:fldCharType="begin"/>
    </w:r>
    <w:r w:rsidR="00660C00">
      <w:rPr>
        <w:rStyle w:val="PageNumber"/>
      </w:rPr>
      <w:instrText xml:space="preserve">PAGE  </w:instrText>
    </w:r>
    <w:r>
      <w:rPr>
        <w:rStyle w:val="PageNumber"/>
      </w:rPr>
      <w:fldChar w:fldCharType="separate"/>
    </w:r>
    <w:r w:rsidR="00DD795C">
      <w:rPr>
        <w:rStyle w:val="PageNumber"/>
        <w:noProof/>
      </w:rPr>
      <w:t>25</w:t>
    </w:r>
    <w:r>
      <w:rPr>
        <w:rStyle w:val="PageNumber"/>
      </w:rPr>
      <w:fldChar w:fldCharType="end"/>
    </w:r>
  </w:p>
  <w:p w:rsidR="00660C00" w:rsidRDefault="00660C00"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597" w:rsidRDefault="00535597">
      <w:r>
        <w:separator/>
      </w:r>
    </w:p>
  </w:footnote>
  <w:footnote w:type="continuationSeparator" w:id="0">
    <w:p w:rsidR="00535597" w:rsidRDefault="0053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57617"/>
    <w:multiLevelType w:val="hybridMultilevel"/>
    <w:tmpl w:val="7660CD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5">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9">
    <w:nsid w:val="7708313F"/>
    <w:multiLevelType w:val="hybridMultilevel"/>
    <w:tmpl w:val="6A801A34"/>
    <w:lvl w:ilvl="0" w:tplc="2D40619E">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8"/>
  </w:num>
  <w:num w:numId="2">
    <w:abstractNumId w:val="9"/>
  </w:num>
  <w:num w:numId="3">
    <w:abstractNumId w:val="34"/>
  </w:num>
  <w:num w:numId="4">
    <w:abstractNumId w:val="15"/>
  </w:num>
  <w:num w:numId="5">
    <w:abstractNumId w:val="18"/>
  </w:num>
  <w:num w:numId="6">
    <w:abstractNumId w:val="40"/>
  </w:num>
  <w:num w:numId="7">
    <w:abstractNumId w:val="42"/>
  </w:num>
  <w:num w:numId="8">
    <w:abstractNumId w:val="22"/>
  </w:num>
  <w:num w:numId="9">
    <w:abstractNumId w:val="37"/>
  </w:num>
  <w:num w:numId="10">
    <w:abstractNumId w:val="30"/>
  </w:num>
  <w:num w:numId="11">
    <w:abstractNumId w:val="11"/>
  </w:num>
  <w:num w:numId="12">
    <w:abstractNumId w:val="5"/>
  </w:num>
  <w:num w:numId="13">
    <w:abstractNumId w:val="16"/>
  </w:num>
  <w:num w:numId="14">
    <w:abstractNumId w:val="38"/>
  </w:num>
  <w:num w:numId="15">
    <w:abstractNumId w:val="41"/>
  </w:num>
  <w:num w:numId="16">
    <w:abstractNumId w:val="20"/>
  </w:num>
  <w:num w:numId="17">
    <w:abstractNumId w:val="36"/>
  </w:num>
  <w:num w:numId="18">
    <w:abstractNumId w:val="32"/>
  </w:num>
  <w:num w:numId="19">
    <w:abstractNumId w:val="13"/>
  </w:num>
  <w:num w:numId="20">
    <w:abstractNumId w:val="26"/>
  </w:num>
  <w:num w:numId="21">
    <w:abstractNumId w:val="2"/>
  </w:num>
  <w:num w:numId="22">
    <w:abstractNumId w:val="31"/>
  </w:num>
  <w:num w:numId="23">
    <w:abstractNumId w:val="27"/>
  </w:num>
  <w:num w:numId="24">
    <w:abstractNumId w:val="0"/>
  </w:num>
  <w:num w:numId="25">
    <w:abstractNumId w:val="10"/>
  </w:num>
  <w:num w:numId="26">
    <w:abstractNumId w:val="23"/>
  </w:num>
  <w:num w:numId="27">
    <w:abstractNumId w:val="3"/>
  </w:num>
  <w:num w:numId="28">
    <w:abstractNumId w:val="25"/>
  </w:num>
  <w:num w:numId="29">
    <w:abstractNumId w:val="19"/>
  </w:num>
  <w:num w:numId="30">
    <w:abstractNumId w:val="7"/>
  </w:num>
  <w:num w:numId="31">
    <w:abstractNumId w:val="35"/>
  </w:num>
  <w:num w:numId="32">
    <w:abstractNumId w:val="14"/>
  </w:num>
  <w:num w:numId="33">
    <w:abstractNumId w:val="17"/>
  </w:num>
  <w:num w:numId="34">
    <w:abstractNumId w:val="4"/>
  </w:num>
  <w:num w:numId="35">
    <w:abstractNumId w:val="33"/>
  </w:num>
  <w:num w:numId="36">
    <w:abstractNumId w:val="8"/>
  </w:num>
  <w:num w:numId="37">
    <w:abstractNumId w:val="6"/>
  </w:num>
  <w:num w:numId="38">
    <w:abstractNumId w:val="12"/>
  </w:num>
  <w:num w:numId="39">
    <w:abstractNumId w:val="21"/>
  </w:num>
  <w:num w:numId="40">
    <w:abstractNumId w:val="24"/>
  </w:num>
  <w:num w:numId="41">
    <w:abstractNumId w:val="29"/>
  </w:num>
  <w:num w:numId="42">
    <w:abstractNumId w:val="1"/>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37944"/>
    <w:rsid w:val="000029A2"/>
    <w:rsid w:val="00005285"/>
    <w:rsid w:val="0000628F"/>
    <w:rsid w:val="000077B8"/>
    <w:rsid w:val="00007F24"/>
    <w:rsid w:val="000120EE"/>
    <w:rsid w:val="00012461"/>
    <w:rsid w:val="0001289A"/>
    <w:rsid w:val="00012A11"/>
    <w:rsid w:val="00012C36"/>
    <w:rsid w:val="00016EBE"/>
    <w:rsid w:val="00022792"/>
    <w:rsid w:val="00022BE4"/>
    <w:rsid w:val="00023F4E"/>
    <w:rsid w:val="0002568E"/>
    <w:rsid w:val="000273CF"/>
    <w:rsid w:val="000276D1"/>
    <w:rsid w:val="0002774B"/>
    <w:rsid w:val="00027C2D"/>
    <w:rsid w:val="00031DB8"/>
    <w:rsid w:val="00031E95"/>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897"/>
    <w:rsid w:val="00043438"/>
    <w:rsid w:val="00043439"/>
    <w:rsid w:val="00044C85"/>
    <w:rsid w:val="00046815"/>
    <w:rsid w:val="00047E4A"/>
    <w:rsid w:val="00050213"/>
    <w:rsid w:val="000537DF"/>
    <w:rsid w:val="000545D4"/>
    <w:rsid w:val="00054AE5"/>
    <w:rsid w:val="00054F53"/>
    <w:rsid w:val="00055517"/>
    <w:rsid w:val="00055927"/>
    <w:rsid w:val="00063553"/>
    <w:rsid w:val="00063928"/>
    <w:rsid w:val="00064008"/>
    <w:rsid w:val="00065484"/>
    <w:rsid w:val="00065C9B"/>
    <w:rsid w:val="00066B6E"/>
    <w:rsid w:val="00066BE2"/>
    <w:rsid w:val="000673B3"/>
    <w:rsid w:val="00067CA5"/>
    <w:rsid w:val="00067D3A"/>
    <w:rsid w:val="00070420"/>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55DD"/>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5B9"/>
    <w:rsid w:val="000C5C92"/>
    <w:rsid w:val="000C6687"/>
    <w:rsid w:val="000C6983"/>
    <w:rsid w:val="000D098F"/>
    <w:rsid w:val="000D1463"/>
    <w:rsid w:val="000D190D"/>
    <w:rsid w:val="000D3894"/>
    <w:rsid w:val="000D3D3F"/>
    <w:rsid w:val="000D4E6A"/>
    <w:rsid w:val="000D66D2"/>
    <w:rsid w:val="000D70A5"/>
    <w:rsid w:val="000D7B3E"/>
    <w:rsid w:val="000E0B6C"/>
    <w:rsid w:val="000E0EA3"/>
    <w:rsid w:val="000E2EB5"/>
    <w:rsid w:val="000E3CC9"/>
    <w:rsid w:val="000E40EA"/>
    <w:rsid w:val="000E4F39"/>
    <w:rsid w:val="000E569A"/>
    <w:rsid w:val="000E654D"/>
    <w:rsid w:val="000E7051"/>
    <w:rsid w:val="000E777F"/>
    <w:rsid w:val="000F02C9"/>
    <w:rsid w:val="000F0439"/>
    <w:rsid w:val="000F065D"/>
    <w:rsid w:val="000F11DF"/>
    <w:rsid w:val="000F1234"/>
    <w:rsid w:val="000F3445"/>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956"/>
    <w:rsid w:val="0013121B"/>
    <w:rsid w:val="001340EC"/>
    <w:rsid w:val="0013416E"/>
    <w:rsid w:val="00134F54"/>
    <w:rsid w:val="00135C07"/>
    <w:rsid w:val="001405C2"/>
    <w:rsid w:val="0014073B"/>
    <w:rsid w:val="00140BF6"/>
    <w:rsid w:val="00140E62"/>
    <w:rsid w:val="00141A3E"/>
    <w:rsid w:val="00141DF5"/>
    <w:rsid w:val="00142158"/>
    <w:rsid w:val="0014217D"/>
    <w:rsid w:val="0014238E"/>
    <w:rsid w:val="00142F62"/>
    <w:rsid w:val="00146187"/>
    <w:rsid w:val="00146DE3"/>
    <w:rsid w:val="0015284F"/>
    <w:rsid w:val="00153EAB"/>
    <w:rsid w:val="0015606E"/>
    <w:rsid w:val="001608EC"/>
    <w:rsid w:val="0016308F"/>
    <w:rsid w:val="0016339F"/>
    <w:rsid w:val="001634BD"/>
    <w:rsid w:val="00163900"/>
    <w:rsid w:val="0016523B"/>
    <w:rsid w:val="00165AAD"/>
    <w:rsid w:val="00166821"/>
    <w:rsid w:val="00166D1F"/>
    <w:rsid w:val="0016747A"/>
    <w:rsid w:val="00167822"/>
    <w:rsid w:val="0017149E"/>
    <w:rsid w:val="00171BC5"/>
    <w:rsid w:val="0017201E"/>
    <w:rsid w:val="00172108"/>
    <w:rsid w:val="001725FA"/>
    <w:rsid w:val="00172631"/>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6272"/>
    <w:rsid w:val="001976ED"/>
    <w:rsid w:val="00197DFB"/>
    <w:rsid w:val="001A14E4"/>
    <w:rsid w:val="001A1AE4"/>
    <w:rsid w:val="001A396A"/>
    <w:rsid w:val="001A3D5B"/>
    <w:rsid w:val="001A7845"/>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7A1"/>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677B9"/>
    <w:rsid w:val="00271071"/>
    <w:rsid w:val="002710FA"/>
    <w:rsid w:val="002716B4"/>
    <w:rsid w:val="00272CEA"/>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6A52"/>
    <w:rsid w:val="002B70FD"/>
    <w:rsid w:val="002B71B0"/>
    <w:rsid w:val="002C06B9"/>
    <w:rsid w:val="002C19C3"/>
    <w:rsid w:val="002C2B4F"/>
    <w:rsid w:val="002C2C11"/>
    <w:rsid w:val="002C4B87"/>
    <w:rsid w:val="002C4C0D"/>
    <w:rsid w:val="002C4EE9"/>
    <w:rsid w:val="002C500E"/>
    <w:rsid w:val="002C5856"/>
    <w:rsid w:val="002C5983"/>
    <w:rsid w:val="002D0CFF"/>
    <w:rsid w:val="002D36DA"/>
    <w:rsid w:val="002D386D"/>
    <w:rsid w:val="002D3885"/>
    <w:rsid w:val="002D6240"/>
    <w:rsid w:val="002D63B9"/>
    <w:rsid w:val="002E1989"/>
    <w:rsid w:val="002E356C"/>
    <w:rsid w:val="002E3967"/>
    <w:rsid w:val="002E5F96"/>
    <w:rsid w:val="002E6EF3"/>
    <w:rsid w:val="002F01C0"/>
    <w:rsid w:val="002F0559"/>
    <w:rsid w:val="002F2431"/>
    <w:rsid w:val="002F277C"/>
    <w:rsid w:val="002F2C07"/>
    <w:rsid w:val="002F3279"/>
    <w:rsid w:val="002F56B0"/>
    <w:rsid w:val="002F5814"/>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47602"/>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3DA7"/>
    <w:rsid w:val="003A4F51"/>
    <w:rsid w:val="003A5FD5"/>
    <w:rsid w:val="003A7150"/>
    <w:rsid w:val="003B187F"/>
    <w:rsid w:val="003B1B3D"/>
    <w:rsid w:val="003B1D22"/>
    <w:rsid w:val="003B1F93"/>
    <w:rsid w:val="003B24FA"/>
    <w:rsid w:val="003B2D31"/>
    <w:rsid w:val="003B3A73"/>
    <w:rsid w:val="003B3E6E"/>
    <w:rsid w:val="003B4227"/>
    <w:rsid w:val="003B6137"/>
    <w:rsid w:val="003B6379"/>
    <w:rsid w:val="003B660B"/>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653A"/>
    <w:rsid w:val="003E6746"/>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6A6"/>
    <w:rsid w:val="00405BC2"/>
    <w:rsid w:val="00407FA5"/>
    <w:rsid w:val="004100F1"/>
    <w:rsid w:val="00410332"/>
    <w:rsid w:val="00413CC5"/>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0D1"/>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2BF3"/>
    <w:rsid w:val="004B34A3"/>
    <w:rsid w:val="004B4016"/>
    <w:rsid w:val="004B4E38"/>
    <w:rsid w:val="004B6722"/>
    <w:rsid w:val="004B678C"/>
    <w:rsid w:val="004B7154"/>
    <w:rsid w:val="004B7B0B"/>
    <w:rsid w:val="004C1531"/>
    <w:rsid w:val="004C3961"/>
    <w:rsid w:val="004C3F72"/>
    <w:rsid w:val="004C4935"/>
    <w:rsid w:val="004C5ED4"/>
    <w:rsid w:val="004C6890"/>
    <w:rsid w:val="004C742B"/>
    <w:rsid w:val="004C78BE"/>
    <w:rsid w:val="004D1B30"/>
    <w:rsid w:val="004D1D79"/>
    <w:rsid w:val="004D3DF0"/>
    <w:rsid w:val="004D44A4"/>
    <w:rsid w:val="004D4992"/>
    <w:rsid w:val="004D50CD"/>
    <w:rsid w:val="004D5CB2"/>
    <w:rsid w:val="004D6F79"/>
    <w:rsid w:val="004D7228"/>
    <w:rsid w:val="004D7275"/>
    <w:rsid w:val="004D7BAD"/>
    <w:rsid w:val="004E17ED"/>
    <w:rsid w:val="004E3757"/>
    <w:rsid w:val="004E3F72"/>
    <w:rsid w:val="004E476A"/>
    <w:rsid w:val="004E6783"/>
    <w:rsid w:val="004E7158"/>
    <w:rsid w:val="004E7D4F"/>
    <w:rsid w:val="004F01A3"/>
    <w:rsid w:val="004F1008"/>
    <w:rsid w:val="004F128E"/>
    <w:rsid w:val="004F176E"/>
    <w:rsid w:val="004F20C6"/>
    <w:rsid w:val="004F20F1"/>
    <w:rsid w:val="004F2BB7"/>
    <w:rsid w:val="004F558D"/>
    <w:rsid w:val="004F5FC7"/>
    <w:rsid w:val="004F718B"/>
    <w:rsid w:val="004F7908"/>
    <w:rsid w:val="0050186D"/>
    <w:rsid w:val="005037A4"/>
    <w:rsid w:val="00503864"/>
    <w:rsid w:val="00503C35"/>
    <w:rsid w:val="00504C0C"/>
    <w:rsid w:val="00506680"/>
    <w:rsid w:val="00506716"/>
    <w:rsid w:val="00506F62"/>
    <w:rsid w:val="00507BE3"/>
    <w:rsid w:val="00510117"/>
    <w:rsid w:val="00510C9B"/>
    <w:rsid w:val="0051124A"/>
    <w:rsid w:val="00511564"/>
    <w:rsid w:val="0051356E"/>
    <w:rsid w:val="0051557C"/>
    <w:rsid w:val="005179C6"/>
    <w:rsid w:val="00517BEC"/>
    <w:rsid w:val="005223D6"/>
    <w:rsid w:val="005227B5"/>
    <w:rsid w:val="00522B33"/>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5597"/>
    <w:rsid w:val="005361DC"/>
    <w:rsid w:val="00536E15"/>
    <w:rsid w:val="00537FAD"/>
    <w:rsid w:val="0054021E"/>
    <w:rsid w:val="0054233B"/>
    <w:rsid w:val="005424A9"/>
    <w:rsid w:val="005462D0"/>
    <w:rsid w:val="005467AE"/>
    <w:rsid w:val="00546AC4"/>
    <w:rsid w:val="00547F42"/>
    <w:rsid w:val="00550FC6"/>
    <w:rsid w:val="00552A10"/>
    <w:rsid w:val="00552C68"/>
    <w:rsid w:val="0055382F"/>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0C8"/>
    <w:rsid w:val="00574D1B"/>
    <w:rsid w:val="005779BE"/>
    <w:rsid w:val="00577F66"/>
    <w:rsid w:val="00581DAC"/>
    <w:rsid w:val="00583A98"/>
    <w:rsid w:val="00583EAB"/>
    <w:rsid w:val="00584D5D"/>
    <w:rsid w:val="005862BF"/>
    <w:rsid w:val="00587E74"/>
    <w:rsid w:val="00587F57"/>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5B68"/>
    <w:rsid w:val="005C60B0"/>
    <w:rsid w:val="005C663F"/>
    <w:rsid w:val="005C79C9"/>
    <w:rsid w:val="005D1B88"/>
    <w:rsid w:val="005D1DD1"/>
    <w:rsid w:val="005D275F"/>
    <w:rsid w:val="005D4389"/>
    <w:rsid w:val="005D4590"/>
    <w:rsid w:val="005D47DB"/>
    <w:rsid w:val="005D493D"/>
    <w:rsid w:val="005D6809"/>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038D"/>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17FDB"/>
    <w:rsid w:val="00620BD3"/>
    <w:rsid w:val="00620CEA"/>
    <w:rsid w:val="0062202A"/>
    <w:rsid w:val="006222D6"/>
    <w:rsid w:val="00622645"/>
    <w:rsid w:val="00622A1A"/>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1766"/>
    <w:rsid w:val="00652046"/>
    <w:rsid w:val="006526C7"/>
    <w:rsid w:val="00653A27"/>
    <w:rsid w:val="0065582F"/>
    <w:rsid w:val="00657A89"/>
    <w:rsid w:val="00657B8B"/>
    <w:rsid w:val="00657C84"/>
    <w:rsid w:val="00660C00"/>
    <w:rsid w:val="00661C33"/>
    <w:rsid w:val="00662293"/>
    <w:rsid w:val="00663438"/>
    <w:rsid w:val="00663E84"/>
    <w:rsid w:val="0066492F"/>
    <w:rsid w:val="00665200"/>
    <w:rsid w:val="0066542A"/>
    <w:rsid w:val="0066618D"/>
    <w:rsid w:val="00671ABF"/>
    <w:rsid w:val="00673450"/>
    <w:rsid w:val="00674246"/>
    <w:rsid w:val="00682ED3"/>
    <w:rsid w:val="0068372A"/>
    <w:rsid w:val="00686D7C"/>
    <w:rsid w:val="006903B1"/>
    <w:rsid w:val="0069063C"/>
    <w:rsid w:val="00692AB0"/>
    <w:rsid w:val="00693C60"/>
    <w:rsid w:val="00694AA1"/>
    <w:rsid w:val="0069676E"/>
    <w:rsid w:val="00696DAE"/>
    <w:rsid w:val="006970D4"/>
    <w:rsid w:val="006A2277"/>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E1F8D"/>
    <w:rsid w:val="006E3720"/>
    <w:rsid w:val="006E52F5"/>
    <w:rsid w:val="006E5DFC"/>
    <w:rsid w:val="006E7CF8"/>
    <w:rsid w:val="006F054A"/>
    <w:rsid w:val="006F0F8D"/>
    <w:rsid w:val="006F392C"/>
    <w:rsid w:val="006F4852"/>
    <w:rsid w:val="006F520A"/>
    <w:rsid w:val="006F74B6"/>
    <w:rsid w:val="00702444"/>
    <w:rsid w:val="00702B50"/>
    <w:rsid w:val="00704041"/>
    <w:rsid w:val="00707478"/>
    <w:rsid w:val="00707F2E"/>
    <w:rsid w:val="00711ACD"/>
    <w:rsid w:val="00712C2F"/>
    <w:rsid w:val="00715747"/>
    <w:rsid w:val="00717041"/>
    <w:rsid w:val="00720030"/>
    <w:rsid w:val="00720A9D"/>
    <w:rsid w:val="00723CD8"/>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EAA"/>
    <w:rsid w:val="00754137"/>
    <w:rsid w:val="00755CC7"/>
    <w:rsid w:val="00757027"/>
    <w:rsid w:val="007572D3"/>
    <w:rsid w:val="0076060E"/>
    <w:rsid w:val="0076146F"/>
    <w:rsid w:val="00761AD8"/>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3F18"/>
    <w:rsid w:val="0078758E"/>
    <w:rsid w:val="00790187"/>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782"/>
    <w:rsid w:val="007B5D02"/>
    <w:rsid w:val="007B62CB"/>
    <w:rsid w:val="007B6B08"/>
    <w:rsid w:val="007C048A"/>
    <w:rsid w:val="007C095C"/>
    <w:rsid w:val="007C1289"/>
    <w:rsid w:val="007C4288"/>
    <w:rsid w:val="007C507A"/>
    <w:rsid w:val="007C7E97"/>
    <w:rsid w:val="007D03AB"/>
    <w:rsid w:val="007D06EA"/>
    <w:rsid w:val="007D07FB"/>
    <w:rsid w:val="007D2026"/>
    <w:rsid w:val="007D2C30"/>
    <w:rsid w:val="007E55A2"/>
    <w:rsid w:val="007E6B8D"/>
    <w:rsid w:val="007F08F7"/>
    <w:rsid w:val="007F1A48"/>
    <w:rsid w:val="007F1FBA"/>
    <w:rsid w:val="007F3AF2"/>
    <w:rsid w:val="007F4328"/>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C95"/>
    <w:rsid w:val="00841267"/>
    <w:rsid w:val="00842285"/>
    <w:rsid w:val="00842886"/>
    <w:rsid w:val="008438A3"/>
    <w:rsid w:val="00844173"/>
    <w:rsid w:val="0084580C"/>
    <w:rsid w:val="00845E6B"/>
    <w:rsid w:val="00846869"/>
    <w:rsid w:val="00846BF7"/>
    <w:rsid w:val="00846F7E"/>
    <w:rsid w:val="00851757"/>
    <w:rsid w:val="00853B7E"/>
    <w:rsid w:val="00853D7D"/>
    <w:rsid w:val="00853DE2"/>
    <w:rsid w:val="0085521A"/>
    <w:rsid w:val="008555D5"/>
    <w:rsid w:val="0085682D"/>
    <w:rsid w:val="008577D5"/>
    <w:rsid w:val="00857FC5"/>
    <w:rsid w:val="008607D6"/>
    <w:rsid w:val="00862551"/>
    <w:rsid w:val="00862C45"/>
    <w:rsid w:val="00864082"/>
    <w:rsid w:val="00864120"/>
    <w:rsid w:val="0086687B"/>
    <w:rsid w:val="0087013C"/>
    <w:rsid w:val="00870C0F"/>
    <w:rsid w:val="008730CE"/>
    <w:rsid w:val="008732AC"/>
    <w:rsid w:val="00873649"/>
    <w:rsid w:val="00873895"/>
    <w:rsid w:val="00873CDD"/>
    <w:rsid w:val="0087447A"/>
    <w:rsid w:val="00875733"/>
    <w:rsid w:val="00875D14"/>
    <w:rsid w:val="00875D9E"/>
    <w:rsid w:val="00876EFB"/>
    <w:rsid w:val="008779D4"/>
    <w:rsid w:val="008779E7"/>
    <w:rsid w:val="008805E9"/>
    <w:rsid w:val="00880C62"/>
    <w:rsid w:val="008815EF"/>
    <w:rsid w:val="00883946"/>
    <w:rsid w:val="00884199"/>
    <w:rsid w:val="008844BB"/>
    <w:rsid w:val="0088593B"/>
    <w:rsid w:val="00885A08"/>
    <w:rsid w:val="0088774A"/>
    <w:rsid w:val="008906C1"/>
    <w:rsid w:val="00890DEB"/>
    <w:rsid w:val="008916AE"/>
    <w:rsid w:val="00891C5E"/>
    <w:rsid w:val="00892550"/>
    <w:rsid w:val="008938AD"/>
    <w:rsid w:val="00893A74"/>
    <w:rsid w:val="00893AAD"/>
    <w:rsid w:val="0089557F"/>
    <w:rsid w:val="0089603A"/>
    <w:rsid w:val="008A06D1"/>
    <w:rsid w:val="008A072B"/>
    <w:rsid w:val="008A160D"/>
    <w:rsid w:val="008A27E1"/>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1759"/>
    <w:rsid w:val="008C2CA0"/>
    <w:rsid w:val="008C46DC"/>
    <w:rsid w:val="008C56DF"/>
    <w:rsid w:val="008C77BD"/>
    <w:rsid w:val="008D1096"/>
    <w:rsid w:val="008D1FE7"/>
    <w:rsid w:val="008D36F7"/>
    <w:rsid w:val="008D40FD"/>
    <w:rsid w:val="008D48EF"/>
    <w:rsid w:val="008E15F6"/>
    <w:rsid w:val="008E2954"/>
    <w:rsid w:val="008E3239"/>
    <w:rsid w:val="008E3289"/>
    <w:rsid w:val="008E32D2"/>
    <w:rsid w:val="008E3973"/>
    <w:rsid w:val="008E618C"/>
    <w:rsid w:val="008F18B9"/>
    <w:rsid w:val="008F26E6"/>
    <w:rsid w:val="008F29D8"/>
    <w:rsid w:val="008F2BBC"/>
    <w:rsid w:val="008F63EC"/>
    <w:rsid w:val="008F6DEB"/>
    <w:rsid w:val="008F739F"/>
    <w:rsid w:val="008F7DC3"/>
    <w:rsid w:val="009002E1"/>
    <w:rsid w:val="00901708"/>
    <w:rsid w:val="00901782"/>
    <w:rsid w:val="00902B07"/>
    <w:rsid w:val="00903213"/>
    <w:rsid w:val="009036B1"/>
    <w:rsid w:val="009042BB"/>
    <w:rsid w:val="00904EB6"/>
    <w:rsid w:val="0090551D"/>
    <w:rsid w:val="009055B2"/>
    <w:rsid w:val="009060CF"/>
    <w:rsid w:val="00906927"/>
    <w:rsid w:val="00907215"/>
    <w:rsid w:val="009107D0"/>
    <w:rsid w:val="009108A3"/>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3CD"/>
    <w:rsid w:val="00934B1E"/>
    <w:rsid w:val="00934C68"/>
    <w:rsid w:val="009358FB"/>
    <w:rsid w:val="00936735"/>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6D42"/>
    <w:rsid w:val="00980637"/>
    <w:rsid w:val="0098067F"/>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2A7"/>
    <w:rsid w:val="009B07B4"/>
    <w:rsid w:val="009B081F"/>
    <w:rsid w:val="009B19B1"/>
    <w:rsid w:val="009B2072"/>
    <w:rsid w:val="009B30EC"/>
    <w:rsid w:val="009B358D"/>
    <w:rsid w:val="009B3D40"/>
    <w:rsid w:val="009B3DCA"/>
    <w:rsid w:val="009B4448"/>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5071"/>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3895"/>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4E5F"/>
    <w:rsid w:val="00A76383"/>
    <w:rsid w:val="00A76CDC"/>
    <w:rsid w:val="00A772E6"/>
    <w:rsid w:val="00A804B1"/>
    <w:rsid w:val="00A8291E"/>
    <w:rsid w:val="00A84996"/>
    <w:rsid w:val="00A84B3C"/>
    <w:rsid w:val="00A862EB"/>
    <w:rsid w:val="00A8667D"/>
    <w:rsid w:val="00A91AB4"/>
    <w:rsid w:val="00A92235"/>
    <w:rsid w:val="00A92358"/>
    <w:rsid w:val="00A92765"/>
    <w:rsid w:val="00A929CF"/>
    <w:rsid w:val="00A92FE4"/>
    <w:rsid w:val="00A95D41"/>
    <w:rsid w:val="00A9646E"/>
    <w:rsid w:val="00A96D82"/>
    <w:rsid w:val="00A96ECA"/>
    <w:rsid w:val="00A97810"/>
    <w:rsid w:val="00A97EB2"/>
    <w:rsid w:val="00AA0FDB"/>
    <w:rsid w:val="00AA1F7A"/>
    <w:rsid w:val="00AA36CE"/>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3D07"/>
    <w:rsid w:val="00B2428B"/>
    <w:rsid w:val="00B249DE"/>
    <w:rsid w:val="00B24E73"/>
    <w:rsid w:val="00B255D5"/>
    <w:rsid w:val="00B25D65"/>
    <w:rsid w:val="00B272E5"/>
    <w:rsid w:val="00B27BFD"/>
    <w:rsid w:val="00B30AA4"/>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5F10"/>
    <w:rsid w:val="00B57BF4"/>
    <w:rsid w:val="00B62826"/>
    <w:rsid w:val="00B64A52"/>
    <w:rsid w:val="00B67382"/>
    <w:rsid w:val="00B7019C"/>
    <w:rsid w:val="00B70E28"/>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A5A95"/>
    <w:rsid w:val="00BB142C"/>
    <w:rsid w:val="00BB1983"/>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8EE"/>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5AA0"/>
    <w:rsid w:val="00C4607B"/>
    <w:rsid w:val="00C47367"/>
    <w:rsid w:val="00C47445"/>
    <w:rsid w:val="00C47945"/>
    <w:rsid w:val="00C50773"/>
    <w:rsid w:val="00C527C7"/>
    <w:rsid w:val="00C54814"/>
    <w:rsid w:val="00C54CA8"/>
    <w:rsid w:val="00C57882"/>
    <w:rsid w:val="00C61939"/>
    <w:rsid w:val="00C6221B"/>
    <w:rsid w:val="00C62B01"/>
    <w:rsid w:val="00C64B3F"/>
    <w:rsid w:val="00C65FB3"/>
    <w:rsid w:val="00C66023"/>
    <w:rsid w:val="00C66BCE"/>
    <w:rsid w:val="00C66E7B"/>
    <w:rsid w:val="00C70CC7"/>
    <w:rsid w:val="00C717BE"/>
    <w:rsid w:val="00C72D10"/>
    <w:rsid w:val="00C730AC"/>
    <w:rsid w:val="00C73B36"/>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D9D"/>
    <w:rsid w:val="00C94AFC"/>
    <w:rsid w:val="00C94DCD"/>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3580"/>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BC2"/>
    <w:rsid w:val="00D9783B"/>
    <w:rsid w:val="00DA02F7"/>
    <w:rsid w:val="00DA19F8"/>
    <w:rsid w:val="00DA3056"/>
    <w:rsid w:val="00DA3E2F"/>
    <w:rsid w:val="00DA450A"/>
    <w:rsid w:val="00DA4570"/>
    <w:rsid w:val="00DA5BEF"/>
    <w:rsid w:val="00DA617D"/>
    <w:rsid w:val="00DA64EA"/>
    <w:rsid w:val="00DA7D8A"/>
    <w:rsid w:val="00DB03F4"/>
    <w:rsid w:val="00DB0524"/>
    <w:rsid w:val="00DB1743"/>
    <w:rsid w:val="00DB1DA1"/>
    <w:rsid w:val="00DB55A5"/>
    <w:rsid w:val="00DB6A07"/>
    <w:rsid w:val="00DB7F35"/>
    <w:rsid w:val="00DC0BB6"/>
    <w:rsid w:val="00DC1E85"/>
    <w:rsid w:val="00DC40B4"/>
    <w:rsid w:val="00DC547A"/>
    <w:rsid w:val="00DC59A4"/>
    <w:rsid w:val="00DC743D"/>
    <w:rsid w:val="00DD1172"/>
    <w:rsid w:val="00DD1294"/>
    <w:rsid w:val="00DD142E"/>
    <w:rsid w:val="00DD3128"/>
    <w:rsid w:val="00DD36B9"/>
    <w:rsid w:val="00DD3759"/>
    <w:rsid w:val="00DD37E1"/>
    <w:rsid w:val="00DD3A57"/>
    <w:rsid w:val="00DD49CB"/>
    <w:rsid w:val="00DD5AA7"/>
    <w:rsid w:val="00DD5D50"/>
    <w:rsid w:val="00DD6BD3"/>
    <w:rsid w:val="00DD795C"/>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5D93"/>
    <w:rsid w:val="00E015A9"/>
    <w:rsid w:val="00E0234B"/>
    <w:rsid w:val="00E023FC"/>
    <w:rsid w:val="00E02BC1"/>
    <w:rsid w:val="00E02E9A"/>
    <w:rsid w:val="00E06F7D"/>
    <w:rsid w:val="00E10FFF"/>
    <w:rsid w:val="00E1171F"/>
    <w:rsid w:val="00E12749"/>
    <w:rsid w:val="00E134CE"/>
    <w:rsid w:val="00E13CFD"/>
    <w:rsid w:val="00E14F52"/>
    <w:rsid w:val="00E17431"/>
    <w:rsid w:val="00E20836"/>
    <w:rsid w:val="00E209F0"/>
    <w:rsid w:val="00E20DA0"/>
    <w:rsid w:val="00E212AE"/>
    <w:rsid w:val="00E222AF"/>
    <w:rsid w:val="00E25395"/>
    <w:rsid w:val="00E25DA4"/>
    <w:rsid w:val="00E323E1"/>
    <w:rsid w:val="00E32BD6"/>
    <w:rsid w:val="00E33737"/>
    <w:rsid w:val="00E349B4"/>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0E7"/>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5F40"/>
    <w:rsid w:val="00E90651"/>
    <w:rsid w:val="00E90D6F"/>
    <w:rsid w:val="00E91657"/>
    <w:rsid w:val="00E91AE2"/>
    <w:rsid w:val="00E922D9"/>
    <w:rsid w:val="00E9371A"/>
    <w:rsid w:val="00E93BF4"/>
    <w:rsid w:val="00EA136B"/>
    <w:rsid w:val="00EA2D35"/>
    <w:rsid w:val="00EA34BD"/>
    <w:rsid w:val="00EA4238"/>
    <w:rsid w:val="00EA506D"/>
    <w:rsid w:val="00EB08D0"/>
    <w:rsid w:val="00EB0C51"/>
    <w:rsid w:val="00EB1F5C"/>
    <w:rsid w:val="00EB5D16"/>
    <w:rsid w:val="00EB6186"/>
    <w:rsid w:val="00EC0FCD"/>
    <w:rsid w:val="00EC30A9"/>
    <w:rsid w:val="00EC3C6B"/>
    <w:rsid w:val="00EC480A"/>
    <w:rsid w:val="00ED0080"/>
    <w:rsid w:val="00ED12C1"/>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548"/>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655"/>
    <w:rsid w:val="00F238AD"/>
    <w:rsid w:val="00F24350"/>
    <w:rsid w:val="00F25E5D"/>
    <w:rsid w:val="00F30525"/>
    <w:rsid w:val="00F30DDD"/>
    <w:rsid w:val="00F31761"/>
    <w:rsid w:val="00F3182A"/>
    <w:rsid w:val="00F322F4"/>
    <w:rsid w:val="00F32DB7"/>
    <w:rsid w:val="00F357CE"/>
    <w:rsid w:val="00F35B23"/>
    <w:rsid w:val="00F35DFC"/>
    <w:rsid w:val="00F36B2B"/>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46E"/>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327F"/>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6194724">
      <w:bodyDiv w:val="1"/>
      <w:marLeft w:val="0"/>
      <w:marRight w:val="0"/>
      <w:marTop w:val="0"/>
      <w:marBottom w:val="0"/>
      <w:divBdr>
        <w:top w:val="none" w:sz="0" w:space="0" w:color="auto"/>
        <w:left w:val="none" w:sz="0" w:space="0" w:color="auto"/>
        <w:bottom w:val="none" w:sz="0" w:space="0" w:color="auto"/>
        <w:right w:val="none" w:sz="0" w:space="0" w:color="auto"/>
      </w:divBdr>
    </w:div>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341429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40619504">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704986508">
      <w:bodyDiv w:val="1"/>
      <w:marLeft w:val="0"/>
      <w:marRight w:val="0"/>
      <w:marTop w:val="0"/>
      <w:marBottom w:val="0"/>
      <w:divBdr>
        <w:top w:val="none" w:sz="0" w:space="0" w:color="auto"/>
        <w:left w:val="none" w:sz="0" w:space="0" w:color="auto"/>
        <w:bottom w:val="none" w:sz="0" w:space="0" w:color="auto"/>
        <w:right w:val="none" w:sz="0" w:space="0" w:color="auto"/>
      </w:divBdr>
    </w:div>
    <w:div w:id="799614280">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858356224">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16354593">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60715963">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cid:image002.png@01D4BF9A.C4A407A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F4F94-0D35-4CC7-AD8C-8EE61113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31</Pages>
  <Words>8644</Words>
  <Characters>49274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57803</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dpersa</cp:lastModifiedBy>
  <cp:revision>82</cp:revision>
  <cp:lastPrinted>2018-02-17T10:43:00Z</cp:lastPrinted>
  <dcterms:created xsi:type="dcterms:W3CDTF">2018-02-22T11:54:00Z</dcterms:created>
  <dcterms:modified xsi:type="dcterms:W3CDTF">2019-02-19T07:15:00Z</dcterms:modified>
</cp:coreProperties>
</file>